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360" w:lineRule="auto"/>
        <w:jc w:val="center"/>
        <w:outlineLvl w:val="9"/>
        <w:rPr>
          <w:rFonts w:hint="eastAsia" w:asciiTheme="majorEastAsia" w:hAnsiTheme="majorEastAsia" w:eastAsiaTheme="majorEastAsia" w:cstheme="majorEastAsia"/>
          <w:b/>
          <w:bCs/>
          <w:color w:val="000000" w:themeColor="text1"/>
          <w:kern w:val="0"/>
          <w:sz w:val="40"/>
          <w:szCs w:val="40"/>
          <w:highlight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kern w:val="0"/>
          <w:sz w:val="40"/>
          <w:szCs w:val="40"/>
          <w:highlight w:val="none"/>
          <w:lang w:val="en-US" w:eastAsia="zh-CN" w:bidi="ar-SA"/>
          <w14:textFill>
            <w14:solidFill>
              <w14:schemeClr w14:val="tx1"/>
            </w14:solidFill>
          </w14:textFill>
        </w:rPr>
        <w:t>2024煤矿安全生产标准化管理体系(新旧版本对比汇总版）</w:t>
      </w:r>
    </w:p>
    <w:p>
      <w:pPr>
        <w:widowControl w:val="0"/>
        <w:snapToGrid w:val="0"/>
        <w:jc w:val="center"/>
        <w:outlineLvl w:val="9"/>
        <w:rPr>
          <w:rFonts w:hint="eastAsia" w:asciiTheme="majorEastAsia" w:hAnsiTheme="majorEastAsia" w:eastAsiaTheme="majorEastAsia" w:cstheme="majorEastAsia"/>
          <w:b/>
          <w:bCs/>
          <w:kern w:val="0"/>
          <w:sz w:val="32"/>
          <w:szCs w:val="32"/>
          <w:highlight w:val="none"/>
          <w:lang w:val="en-US" w:eastAsia="zh-CN" w:bidi="ar-SA"/>
        </w:rPr>
      </w:pPr>
      <w:r>
        <w:rPr>
          <w:rFonts w:hint="eastAsia" w:asciiTheme="majorEastAsia" w:hAnsiTheme="majorEastAsia" w:eastAsiaTheme="majorEastAsia" w:cstheme="majorEastAsia"/>
          <w:b/>
          <w:bCs/>
          <w:kern w:val="0"/>
          <w:sz w:val="32"/>
          <w:szCs w:val="32"/>
          <w:highlight w:val="none"/>
          <w:lang w:val="en-US" w:eastAsia="zh-CN" w:bidi="ar-SA"/>
        </w:rPr>
        <w:t>1、煤矿</w:t>
      </w:r>
      <w:r>
        <w:rPr>
          <w:rFonts w:hint="eastAsia" w:asciiTheme="majorEastAsia" w:hAnsiTheme="majorEastAsia" w:eastAsiaTheme="majorEastAsia" w:cstheme="majorEastAsia"/>
          <w:b/>
          <w:bCs/>
          <w:color w:val="FF0000"/>
          <w:kern w:val="0"/>
          <w:sz w:val="32"/>
          <w:szCs w:val="32"/>
          <w:highlight w:val="none"/>
          <w:lang w:val="en-US" w:eastAsia="zh-CN" w:bidi="ar-SA"/>
        </w:rPr>
        <w:t>安全基础管理</w:t>
      </w:r>
      <w:r>
        <w:rPr>
          <w:rFonts w:hint="eastAsia" w:asciiTheme="majorEastAsia" w:hAnsiTheme="majorEastAsia" w:eastAsiaTheme="majorEastAsia" w:cstheme="majorEastAsia"/>
          <w:b/>
          <w:bCs/>
          <w:kern w:val="0"/>
          <w:sz w:val="32"/>
          <w:szCs w:val="32"/>
          <w:highlight w:val="none"/>
          <w:lang w:val="en-US" w:eastAsia="zh-CN" w:bidi="ar-SA"/>
        </w:rPr>
        <w:t>标准化评分对比表</w:t>
      </w:r>
    </w:p>
    <w:tbl>
      <w:tblPr>
        <w:tblStyle w:val="8"/>
        <w:tblW w:w="13874" w:type="dxa"/>
        <w:jc w:val="center"/>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80"/>
        <w:gridCol w:w="542"/>
        <w:gridCol w:w="566"/>
        <w:gridCol w:w="4291"/>
        <w:gridCol w:w="4429"/>
        <w:gridCol w:w="306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758" w:hRule="atLeast"/>
          <w:tblHeader/>
          <w:jc w:val="center"/>
        </w:trPr>
        <w:tc>
          <w:tcPr>
            <w:tcW w:w="980" w:type="dxa"/>
            <w:tcBorders>
              <w:tl2br w:val="nil"/>
              <w:tr2bl w:val="nil"/>
            </w:tcBorders>
            <w:shd w:val="clear" w:color="auto" w:fill="auto"/>
            <w:vAlign w:val="center"/>
          </w:tcPr>
          <w:p>
            <w:pPr>
              <w:widowControl/>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rPr>
              <w:t>项目</w:t>
            </w:r>
          </w:p>
        </w:tc>
        <w:tc>
          <w:tcPr>
            <w:tcW w:w="1108" w:type="dxa"/>
            <w:gridSpan w:val="2"/>
            <w:tcBorders>
              <w:tl2br w:val="nil"/>
              <w:tr2bl w:val="nil"/>
            </w:tcBorders>
            <w:shd w:val="clear" w:color="auto" w:fill="auto"/>
            <w:vAlign w:val="center"/>
          </w:tcPr>
          <w:p>
            <w:pPr>
              <w:widowControl/>
              <w:jc w:val="center"/>
              <w:textAlignment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项目</w:t>
            </w:r>
          </w:p>
          <w:p>
            <w:pPr>
              <w:widowControl/>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rPr>
              <w:t>内容</w:t>
            </w:r>
          </w:p>
        </w:tc>
        <w:tc>
          <w:tcPr>
            <w:tcW w:w="4291" w:type="dxa"/>
            <w:tcBorders>
              <w:tl2br w:val="nil"/>
              <w:tr2bl w:val="nil"/>
            </w:tcBorders>
            <w:shd w:val="clear" w:color="auto" w:fill="auto"/>
            <w:vAlign w:val="center"/>
          </w:tcPr>
          <w:p>
            <w:pPr>
              <w:widowControl/>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rPr>
              <w:t>2024版</w:t>
            </w:r>
            <w:r>
              <w:rPr>
                <w:rFonts w:hint="eastAsia" w:ascii="宋体" w:hAnsi="宋体" w:eastAsia="宋体" w:cs="宋体"/>
                <w:b/>
                <w:bCs/>
                <w:kern w:val="0"/>
                <w:sz w:val="21"/>
                <w:szCs w:val="21"/>
                <w:highlight w:val="none"/>
              </w:rPr>
              <w:t>基本要求</w:t>
            </w:r>
          </w:p>
        </w:tc>
        <w:tc>
          <w:tcPr>
            <w:tcW w:w="4429" w:type="dxa"/>
            <w:tcBorders>
              <w:tl2br w:val="nil"/>
              <w:tr2bl w:val="nil"/>
            </w:tcBorders>
            <w:shd w:val="clear" w:color="auto" w:fill="auto"/>
            <w:vAlign w:val="center"/>
          </w:tcPr>
          <w:p>
            <w:pPr>
              <w:widowControl/>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rPr>
              <w:t>2020版</w:t>
            </w:r>
            <w:r>
              <w:rPr>
                <w:rFonts w:hint="eastAsia" w:ascii="宋体" w:hAnsi="宋体" w:eastAsia="宋体" w:cs="宋体"/>
                <w:b/>
                <w:bCs/>
                <w:kern w:val="0"/>
                <w:sz w:val="21"/>
                <w:szCs w:val="21"/>
                <w:highlight w:val="none"/>
              </w:rPr>
              <w:t>基本要求</w:t>
            </w:r>
          </w:p>
        </w:tc>
        <w:tc>
          <w:tcPr>
            <w:tcW w:w="3066" w:type="dxa"/>
            <w:tcBorders>
              <w:tl2br w:val="nil"/>
              <w:tr2bl w:val="nil"/>
            </w:tcBorders>
            <w:shd w:val="clear" w:color="auto" w:fill="auto"/>
            <w:vAlign w:val="center"/>
          </w:tcPr>
          <w:p>
            <w:pPr>
              <w:widowControl/>
              <w:jc w:val="center"/>
              <w:textAlignment w:val="center"/>
              <w:rPr>
                <w:rFonts w:hint="eastAsia" w:ascii="宋体" w:hAnsi="宋体" w:eastAsia="宋体" w:cs="宋体"/>
                <w:b/>
                <w:bCs/>
                <w:sz w:val="21"/>
                <w:szCs w:val="21"/>
                <w:highlight w:val="none"/>
                <w:lang w:eastAsia="zh-CN"/>
              </w:rPr>
            </w:pPr>
            <w:r>
              <w:rPr>
                <w:rFonts w:hint="eastAsia" w:ascii="宋体" w:hAnsi="宋体" w:eastAsia="宋体" w:cs="宋体"/>
                <w:b/>
                <w:bCs/>
                <w:kern w:val="0"/>
                <w:sz w:val="21"/>
                <w:szCs w:val="21"/>
                <w:highlight w:val="none"/>
                <w:lang w:val="en-US" w:eastAsia="zh-CN"/>
              </w:rPr>
              <w:t>变化</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897" w:hRule="atLeast"/>
          <w:jc w:val="center"/>
        </w:trPr>
        <w:tc>
          <w:tcPr>
            <w:tcW w:w="980" w:type="dxa"/>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kern w:val="0"/>
                <w:sz w:val="21"/>
                <w:szCs w:val="21"/>
                <w:highlight w:val="none"/>
              </w:rPr>
            </w:pPr>
            <w:r>
              <w:rPr>
                <w:rFonts w:hint="eastAsia" w:ascii="宋体" w:hAnsi="宋体" w:eastAsia="宋体" w:cs="宋体"/>
                <w:color w:val="FF0000"/>
                <w:kern w:val="0"/>
                <w:sz w:val="21"/>
                <w:szCs w:val="21"/>
                <w:highlight w:val="none"/>
              </w:rPr>
              <w:t>安全生产理念</w:t>
            </w:r>
          </w:p>
        </w:tc>
        <w:tc>
          <w:tcPr>
            <w:tcW w:w="1108" w:type="dxa"/>
            <w:gridSpan w:val="2"/>
            <w:tcBorders>
              <w:tl2br w:val="nil"/>
              <w:tr2bl w:val="nil"/>
            </w:tcBorders>
            <w:shd w:val="clear" w:color="auto" w:fill="auto"/>
            <w:vAlign w:val="center"/>
          </w:tcPr>
          <w:p>
            <w:pPr>
              <w:widowControl/>
              <w:jc w:val="center"/>
              <w:textAlignment w:val="center"/>
              <w:rPr>
                <w:rFonts w:hint="eastAsia" w:ascii="宋体" w:hAnsi="宋体" w:eastAsia="宋体" w:cs="宋体"/>
                <w:kern w:val="0"/>
                <w:sz w:val="21"/>
                <w:szCs w:val="21"/>
                <w:highlight w:val="none"/>
              </w:rPr>
            </w:pPr>
          </w:p>
        </w:tc>
        <w:tc>
          <w:tcPr>
            <w:tcW w:w="4291" w:type="dxa"/>
            <w:tcBorders>
              <w:tl2br w:val="nil"/>
              <w:tr2bl w:val="nil"/>
            </w:tcBorders>
            <w:shd w:val="clear" w:color="auto" w:fill="auto"/>
            <w:vAlign w:val="center"/>
          </w:tcPr>
          <w:p>
            <w:pPr>
              <w:widowControl/>
              <w:textAlignment w:val="center"/>
              <w:rPr>
                <w:rFonts w:hint="eastAsia" w:ascii="宋体" w:hAnsi="宋体" w:eastAsia="宋体" w:cs="宋体"/>
                <w:kern w:val="0"/>
                <w:sz w:val="21"/>
                <w:szCs w:val="21"/>
                <w:highlight w:val="none"/>
              </w:rPr>
            </w:pPr>
          </w:p>
        </w:tc>
        <w:tc>
          <w:tcPr>
            <w:tcW w:w="4429"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体现牢固树立安全生产红线意识，贯彻“安全第一、预防为主</w:t>
            </w:r>
            <w:bookmarkStart w:id="0" w:name="_GoBack"/>
            <w:bookmarkEnd w:id="0"/>
            <w:r>
              <w:rPr>
                <w:rFonts w:hint="eastAsia" w:ascii="宋体" w:hAnsi="宋体" w:eastAsia="宋体" w:cs="宋体"/>
                <w:kern w:val="0"/>
                <w:sz w:val="21"/>
                <w:szCs w:val="21"/>
                <w:highlight w:val="none"/>
              </w:rPr>
              <w:t>、综合治理”的安全生产方针，体现以人为本、生命至上的思想，体现机械化、自动化、信息化、智能化发展趋势，体现煤矿职工获得感、幸福感、安全感的需求和主人翁地位、体面劳动、尊严生活的要求</w:t>
            </w:r>
          </w:p>
        </w:tc>
        <w:tc>
          <w:tcPr>
            <w:tcW w:w="3066" w:type="dxa"/>
            <w:tcBorders>
              <w:tl2br w:val="nil"/>
              <w:tr2bl w:val="nil"/>
            </w:tcBorders>
            <w:shd w:val="clear" w:color="auto" w:fill="auto"/>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删除</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105" w:hRule="atLeast"/>
          <w:jc w:val="center"/>
        </w:trPr>
        <w:tc>
          <w:tcPr>
            <w:tcW w:w="980" w:type="dxa"/>
            <w:vMerge w:val="restart"/>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一、安全目标（10分）</w:t>
            </w:r>
          </w:p>
        </w:tc>
        <w:tc>
          <w:tcPr>
            <w:tcW w:w="1108" w:type="dxa"/>
            <w:gridSpan w:val="2"/>
            <w:tcBorders>
              <w:tl2br w:val="nil"/>
              <w:tr2bl w:val="nil"/>
            </w:tcBorders>
            <w:shd w:val="clear" w:color="auto" w:fill="auto"/>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color w:val="FF0000"/>
                <w:kern w:val="0"/>
                <w:sz w:val="21"/>
                <w:szCs w:val="21"/>
                <w:highlight w:val="none"/>
                <w:lang w:val="en-US" w:eastAsia="zh-CN"/>
              </w:rPr>
              <w:t>制度</w:t>
            </w:r>
          </w:p>
        </w:tc>
        <w:tc>
          <w:tcPr>
            <w:tcW w:w="4291" w:type="dxa"/>
            <w:tcBorders>
              <w:tl2br w:val="nil"/>
              <w:tr2bl w:val="nil"/>
            </w:tcBorders>
            <w:shd w:val="clear" w:color="auto" w:fill="auto"/>
            <w:vAlign w:val="center"/>
          </w:tcPr>
          <w:p>
            <w:pPr>
              <w:widowControl/>
              <w:textAlignment w:val="center"/>
              <w:rPr>
                <w:rFonts w:hint="eastAsia" w:ascii="宋体" w:hAnsi="宋体" w:eastAsia="宋体" w:cs="宋体"/>
                <w:kern w:val="0"/>
                <w:sz w:val="21"/>
                <w:szCs w:val="21"/>
                <w:highlight w:val="none"/>
              </w:rPr>
            </w:pPr>
          </w:p>
        </w:tc>
        <w:tc>
          <w:tcPr>
            <w:tcW w:w="4429" w:type="dxa"/>
            <w:tcBorders>
              <w:tl2br w:val="nil"/>
              <w:tr2bl w:val="nil"/>
            </w:tcBorders>
            <w:shd w:val="clear" w:color="auto" w:fill="auto"/>
            <w:vAlign w:val="center"/>
          </w:tcPr>
          <w:p>
            <w:pPr>
              <w:pStyle w:val="11"/>
              <w:numPr>
                <w:ilvl w:val="0"/>
                <w:numId w:val="0"/>
              </w:numPr>
              <w:rPr>
                <w:rFonts w:hint="eastAsia" w:ascii="宋体" w:hAnsi="宋体" w:eastAsia="宋体" w:cs="宋体"/>
                <w:sz w:val="21"/>
                <w:szCs w:val="21"/>
                <w:highlight w:val="none"/>
              </w:rPr>
            </w:pPr>
            <w:r>
              <w:rPr>
                <w:rFonts w:hint="eastAsia" w:ascii="宋体" w:hAnsi="宋体" w:eastAsia="宋体" w:cs="宋体"/>
                <w:sz w:val="21"/>
                <w:szCs w:val="21"/>
                <w:highlight w:val="none"/>
              </w:rPr>
              <w:t>建立安全生产目标管理制度，对安全目标和任务及措施的制定、责任分解、考核等工作作出规定</w:t>
            </w:r>
          </w:p>
        </w:tc>
        <w:tc>
          <w:tcPr>
            <w:tcW w:w="3066" w:type="dxa"/>
            <w:vMerge w:val="restart"/>
            <w:tcBorders>
              <w:tl2br w:val="nil"/>
              <w:tr2bl w:val="nil"/>
            </w:tcBorders>
            <w:shd w:val="clear" w:color="auto" w:fill="auto"/>
            <w:vAlign w:val="center"/>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将制度和目标内容归纳合一</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385" w:hRule="atLeast"/>
          <w:jc w:val="center"/>
        </w:trPr>
        <w:tc>
          <w:tcPr>
            <w:tcW w:w="980" w:type="dxa"/>
            <w:vMerge w:val="continue"/>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sz w:val="21"/>
                <w:szCs w:val="21"/>
                <w:highlight w:val="none"/>
              </w:rPr>
            </w:pPr>
          </w:p>
        </w:tc>
        <w:tc>
          <w:tcPr>
            <w:tcW w:w="1108" w:type="dxa"/>
            <w:gridSpan w:val="2"/>
            <w:tcBorders>
              <w:tl2br w:val="nil"/>
              <w:tr2bl w:val="nil"/>
            </w:tcBorders>
            <w:shd w:val="clear" w:color="auto" w:fill="auto"/>
            <w:vAlign w:val="center"/>
          </w:tcPr>
          <w:p>
            <w:pPr>
              <w:widowControl/>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目标</w:t>
            </w:r>
          </w:p>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内容</w:t>
            </w:r>
          </w:p>
        </w:tc>
        <w:tc>
          <w:tcPr>
            <w:tcW w:w="4291"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结合煤矿实际明确年度安全目标，包括但不限于工伤事故、标准化达标创建等量化考核指标，分解、制定完成目标的工作任务和措施，并对考核奖惩等内容作出规定</w:t>
            </w:r>
          </w:p>
        </w:tc>
        <w:tc>
          <w:tcPr>
            <w:tcW w:w="4429" w:type="dxa"/>
            <w:tcBorders>
              <w:tl2br w:val="nil"/>
              <w:tr2bl w:val="nil"/>
            </w:tcBorders>
            <w:shd w:val="clear" w:color="auto" w:fill="auto"/>
            <w:vAlign w:val="center"/>
          </w:tcPr>
          <w:p>
            <w:pPr>
              <w:widowControl/>
              <w:numPr>
                <w:ilvl w:val="0"/>
                <w:numId w:val="0"/>
              </w:numP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年度安全生产目标应符合本单位安全生产实际，将安全生产目标纳入企业的总体生产经营考核指标</w:t>
            </w:r>
          </w:p>
          <w:p>
            <w:pPr>
              <w:pStyle w:val="11"/>
              <w:numPr>
                <w:ilvl w:val="0"/>
                <w:numId w:val="0"/>
              </w:numPr>
              <w:rPr>
                <w:rFonts w:hint="eastAsia" w:ascii="宋体" w:hAnsi="宋体" w:eastAsia="宋体" w:cs="宋体"/>
                <w:sz w:val="21"/>
                <w:szCs w:val="21"/>
                <w:highlight w:val="none"/>
              </w:rPr>
            </w:pPr>
            <w:r>
              <w:rPr>
                <w:rFonts w:hint="eastAsia" w:ascii="宋体" w:hAnsi="宋体" w:eastAsia="宋体" w:cs="宋体"/>
                <w:sz w:val="21"/>
                <w:szCs w:val="21"/>
                <w:highlight w:val="none"/>
              </w:rPr>
              <w:t>2.目标应可考核，内容应包含事故防范、灾害治理、风险管控、隐患治理等方面，体现“零死亡”，瓦斯“零超限”和井下“零突出”“零透水”“零自燃”“零冲击（无冲击地压事故）”等方面要求</w:t>
            </w:r>
          </w:p>
          <w:p>
            <w:pPr>
              <w:pStyle w:val="6"/>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bidi="ar-SA"/>
              </w:rPr>
              <w:t>3.分解、制定完成目标的工作任务和措施，明确分层级、专业或科室，以及每项任务的责任岗位、支持条件（人、财、物）和完成时限</w:t>
            </w:r>
          </w:p>
        </w:tc>
        <w:tc>
          <w:tcPr>
            <w:tcW w:w="3066" w:type="dxa"/>
            <w:vMerge w:val="continue"/>
            <w:tcBorders>
              <w:tl2br w:val="nil"/>
              <w:tr2bl w:val="nil"/>
            </w:tcBorders>
            <w:shd w:val="clear" w:color="auto" w:fill="auto"/>
            <w:vAlign w:val="center"/>
          </w:tcPr>
          <w:p>
            <w:pPr>
              <w:rPr>
                <w:rFonts w:hint="eastAsia" w:ascii="宋体" w:hAnsi="宋体" w:eastAsia="宋体" w:cs="宋体"/>
                <w:color w:val="auto"/>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897" w:hRule="atLeast"/>
          <w:jc w:val="center"/>
        </w:trPr>
        <w:tc>
          <w:tcPr>
            <w:tcW w:w="980"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1108" w:type="dxa"/>
            <w:gridSpan w:val="2"/>
            <w:tcBorders>
              <w:tl2br w:val="nil"/>
              <w:tr2bl w:val="nil"/>
            </w:tcBorders>
            <w:shd w:val="clear" w:color="auto" w:fill="auto"/>
            <w:vAlign w:val="center"/>
          </w:tcPr>
          <w:p>
            <w:pPr>
              <w:widowControl/>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考核</w:t>
            </w:r>
          </w:p>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奖惩</w:t>
            </w:r>
          </w:p>
        </w:tc>
        <w:tc>
          <w:tcPr>
            <w:tcW w:w="4291" w:type="dxa"/>
            <w:tcBorders>
              <w:tl2br w:val="nil"/>
              <w:tr2bl w:val="nil"/>
            </w:tcBorders>
            <w:shd w:val="clear" w:color="auto" w:fill="auto"/>
            <w:vAlign w:val="center"/>
          </w:tcPr>
          <w:p>
            <w:pPr>
              <w:widowControl/>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每季度统计安全目标任务完成情况；未按时完成的分析原因，提出改进措施；每年对安全目标任务完成情况进行考核，并严格兑现奖惩</w:t>
            </w:r>
          </w:p>
        </w:tc>
        <w:tc>
          <w:tcPr>
            <w:tcW w:w="4429" w:type="dxa"/>
            <w:tcBorders>
              <w:tl2br w:val="nil"/>
              <w:tr2bl w:val="nil"/>
            </w:tcBorders>
            <w:shd w:val="clear" w:color="auto" w:fill="auto"/>
            <w:vAlign w:val="center"/>
          </w:tcPr>
          <w:p>
            <w:pPr>
              <w:widowControl/>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每季度统计目标任务完成情况，未按时完成的应分析原因，提出改进措施</w:t>
            </w:r>
          </w:p>
          <w:p>
            <w:pPr>
              <w:widowControl/>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制定年度安全目标考核方案，有具体的考核指标、奖惩措施</w:t>
            </w:r>
          </w:p>
          <w:p>
            <w:pPr>
              <w:widowControl/>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3.根据年度安全生产目标完成情况，对每项目标任务的责任人进行考核，纳入年度绩效管理</w:t>
            </w:r>
          </w:p>
        </w:tc>
        <w:tc>
          <w:tcPr>
            <w:tcW w:w="3066" w:type="dxa"/>
            <w:tcBorders>
              <w:tl2br w:val="nil"/>
              <w:tr2bl w:val="nil"/>
            </w:tcBorders>
            <w:shd w:val="clear" w:color="auto" w:fill="auto"/>
            <w:vAlign w:val="center"/>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要求未变，进行了提炼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jc w:val="center"/>
        </w:trPr>
        <w:tc>
          <w:tcPr>
            <w:tcW w:w="980" w:type="dxa"/>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color w:val="FF0000"/>
                <w:kern w:val="0"/>
                <w:sz w:val="21"/>
                <w:szCs w:val="21"/>
                <w:highlight w:val="none"/>
                <w:lang w:val="en-US" w:eastAsia="zh-CN"/>
              </w:rPr>
              <w:t>矿长</w:t>
            </w:r>
            <w:r>
              <w:rPr>
                <w:rFonts w:hint="eastAsia" w:ascii="宋体" w:hAnsi="宋体" w:eastAsia="宋体" w:cs="宋体"/>
                <w:color w:val="FF0000"/>
                <w:sz w:val="21"/>
                <w:szCs w:val="21"/>
                <w:highlight w:val="none"/>
                <w:lang w:val="en-US" w:eastAsia="zh-CN"/>
              </w:rPr>
              <w:t>安全</w:t>
            </w:r>
            <w:r>
              <w:rPr>
                <w:rFonts w:hint="eastAsia" w:ascii="宋体" w:hAnsi="宋体" w:eastAsia="宋体" w:cs="宋体"/>
                <w:color w:val="FF0000"/>
                <w:kern w:val="0"/>
                <w:sz w:val="21"/>
                <w:szCs w:val="21"/>
                <w:highlight w:val="none"/>
                <w:lang w:val="en-US" w:eastAsia="zh-CN"/>
              </w:rPr>
              <w:t>承诺</w:t>
            </w:r>
          </w:p>
        </w:tc>
        <w:tc>
          <w:tcPr>
            <w:tcW w:w="1108" w:type="dxa"/>
            <w:gridSpan w:val="2"/>
            <w:tcBorders>
              <w:tl2br w:val="nil"/>
              <w:tr2bl w:val="nil"/>
            </w:tcBorders>
            <w:shd w:val="clear" w:color="auto" w:fill="auto"/>
            <w:vAlign w:val="center"/>
          </w:tcPr>
          <w:p>
            <w:pPr>
              <w:widowControl/>
              <w:jc w:val="center"/>
              <w:textAlignment w:val="center"/>
              <w:rPr>
                <w:rFonts w:hint="eastAsia" w:ascii="宋体" w:hAnsi="宋体" w:eastAsia="宋体" w:cs="宋体"/>
                <w:kern w:val="0"/>
                <w:sz w:val="21"/>
                <w:szCs w:val="21"/>
                <w:highlight w:val="none"/>
              </w:rPr>
            </w:pPr>
          </w:p>
        </w:tc>
        <w:tc>
          <w:tcPr>
            <w:tcW w:w="4291"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p>
        </w:tc>
        <w:tc>
          <w:tcPr>
            <w:tcW w:w="4429" w:type="dxa"/>
            <w:tcBorders>
              <w:tl2br w:val="nil"/>
              <w:tr2bl w:val="nil"/>
            </w:tcBorders>
            <w:shd w:val="clear" w:color="auto" w:fill="auto"/>
            <w:vAlign w:val="center"/>
          </w:tcPr>
          <w:p>
            <w:pPr>
              <w:widowControl/>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煤矿对矿长安全承诺的建立、公示、兑现、考核作出规定</w:t>
            </w:r>
          </w:p>
        </w:tc>
        <w:tc>
          <w:tcPr>
            <w:tcW w:w="3066" w:type="dxa"/>
            <w:tcBorders>
              <w:tl2br w:val="nil"/>
              <w:tr2bl w:val="nil"/>
            </w:tcBorders>
            <w:shd w:val="clear" w:color="auto" w:fill="auto"/>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删除</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7558" w:hRule="atLeast"/>
          <w:jc w:val="center"/>
        </w:trPr>
        <w:tc>
          <w:tcPr>
            <w:tcW w:w="980" w:type="dxa"/>
            <w:vMerge w:val="restart"/>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二、组织保障（10分）</w:t>
            </w:r>
          </w:p>
        </w:tc>
        <w:tc>
          <w:tcPr>
            <w:tcW w:w="1108" w:type="dxa"/>
            <w:gridSpan w:val="2"/>
            <w:tcBorders>
              <w:tl2br w:val="nil"/>
              <w:tr2bl w:val="nil"/>
            </w:tcBorders>
            <w:shd w:val="clear" w:color="auto" w:fill="auto"/>
            <w:vAlign w:val="center"/>
          </w:tcPr>
          <w:p>
            <w:pPr>
              <w:widowControl/>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机构</w:t>
            </w:r>
          </w:p>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设置</w:t>
            </w:r>
          </w:p>
        </w:tc>
        <w:tc>
          <w:tcPr>
            <w:tcW w:w="4291"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按规定设置安全生产技术管理部门，明确相应的责任范围及工作职责并严格落实。</w:t>
            </w:r>
            <w:r>
              <w:rPr>
                <w:rFonts w:hint="eastAsia" w:ascii="宋体" w:hAnsi="宋体" w:eastAsia="宋体" w:cs="宋体"/>
                <w:kern w:val="0"/>
                <w:sz w:val="21"/>
                <w:szCs w:val="21"/>
                <w:highlight w:val="none"/>
              </w:rPr>
              <w:t>对煤（岩）与瓦斯（二氧化碳）突出、高瓦斯、冲击地压、煤层容易自燃、水文地质类型复杂和极复杂的煤矿，还应当按规定设立相应的专门防治机构</w:t>
            </w:r>
          </w:p>
        </w:tc>
        <w:tc>
          <w:tcPr>
            <w:tcW w:w="4429" w:type="dxa"/>
            <w:tcBorders>
              <w:tl2br w:val="nil"/>
              <w:tr2bl w:val="nil"/>
            </w:tcBorders>
            <w:shd w:val="clear" w:color="auto" w:fill="auto"/>
            <w:vAlign w:val="center"/>
          </w:tcPr>
          <w:p>
            <w:pPr>
              <w:widowControl/>
              <w:textAlignment w:val="center"/>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lang w:val="en-US" w:eastAsia="zh-CN"/>
              </w:rPr>
              <w:t>安全管理：</w:t>
            </w:r>
            <w:r>
              <w:rPr>
                <w:rFonts w:hint="eastAsia" w:ascii="宋体" w:hAnsi="宋体" w:eastAsia="宋体" w:cs="宋体"/>
                <w:kern w:val="0"/>
                <w:sz w:val="21"/>
                <w:szCs w:val="21"/>
                <w:highlight w:val="none"/>
              </w:rPr>
              <w:t>1.设有安全生产监督管理部门，并明确制定安全生产规章制度、现场监督检查、“三违”行为的制止和纠正等职责</w:t>
            </w:r>
          </w:p>
          <w:p>
            <w:pPr>
              <w:widowControl/>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2.明确负责安全生产理念目标、安全承诺、安全生产监督管理、绩效考核和持续改进管理职责的部门</w:t>
            </w:r>
          </w:p>
          <w:p>
            <w:pPr>
              <w:widowControl/>
              <w:textAlignment w:val="center"/>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lang w:val="en-US" w:eastAsia="zh-CN"/>
              </w:rPr>
              <w:t>专业管理：</w:t>
            </w:r>
            <w:r>
              <w:rPr>
                <w:rFonts w:hint="eastAsia" w:ascii="宋体" w:hAnsi="宋体" w:eastAsia="宋体" w:cs="宋体"/>
                <w:kern w:val="0"/>
                <w:sz w:val="21"/>
                <w:szCs w:val="21"/>
                <w:highlight w:val="none"/>
              </w:rPr>
              <w:t>1.明确负责安全风险分级管控、事故隐患排查治理工作职责的部门</w:t>
            </w:r>
          </w:p>
          <w:p>
            <w:pPr>
              <w:widowControl/>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2.设有负责矿井采掘（露天煤矿钻孔、爆破、采装、运输、排土）生产技术管理的部门，并明确技术管理及现场监督检查执行情况等工作职责</w:t>
            </w:r>
          </w:p>
          <w:p>
            <w:pPr>
              <w:widowControl/>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3.设有负责安全生产调度管理的部门,明确矿井生产调度指挥、应急管理，安全监测监控（露天煤矿调度监控）及井上下（露天煤矿坑上下）通信系统管理等工作职责</w:t>
            </w:r>
          </w:p>
          <w:p>
            <w:pPr>
              <w:widowControl/>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4.设有负责矿井通防管理的部门，明确矿井通风、防尘、防治瓦斯、防灭火、防突、爆破（露天煤矿采空区、火区、边坡）管理及现场监督检查执行情况等工作职责</w:t>
            </w:r>
          </w:p>
          <w:p>
            <w:pPr>
              <w:widowControl/>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5.设有负责矿井机电运输管理的部门，明确机电、运输、自动化信息化（露天煤矿机电、信息化）等技术管理及现场监督检查执行情况等工作职责</w:t>
            </w:r>
          </w:p>
          <w:p>
            <w:pPr>
              <w:widowControl/>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6.设有负责矿井水文地质管理工作的部门，明确防冲、防治水、水文地质、矿井地质、瓦斯地质、矿井测量（露天煤矿防排水、水文地质、工程地质、测量工程）管理及现场监督检查落实执行情况等工作职责</w:t>
            </w:r>
          </w:p>
          <w:p>
            <w:pPr>
              <w:widowControl/>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7.设有负责煤矿安全培训管理的部门，明确培训、班组建设等工作职责</w:t>
            </w:r>
          </w:p>
          <w:p>
            <w:pPr>
              <w:widowControl/>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8.设有负责职业病危害防治、综合行政管理以及地面后勤保障等工作职责的部门，职责明确</w:t>
            </w:r>
          </w:p>
        </w:tc>
        <w:tc>
          <w:tcPr>
            <w:tcW w:w="3066" w:type="dxa"/>
            <w:tcBorders>
              <w:tl2br w:val="nil"/>
              <w:tr2bl w:val="nil"/>
            </w:tcBorders>
            <w:shd w:val="clear" w:color="auto" w:fill="auto"/>
            <w:vAlign w:val="center"/>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对各专业要求进行了归纳，具体要求内容放在了第三部分专业管理；删除了职业卫生健康相关要求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440" w:hRule="atLeast"/>
          <w:jc w:val="center"/>
        </w:trPr>
        <w:tc>
          <w:tcPr>
            <w:tcW w:w="980"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1108" w:type="dxa"/>
            <w:gridSpan w:val="2"/>
            <w:vMerge w:val="restart"/>
            <w:tcBorders>
              <w:tl2br w:val="nil"/>
              <w:tr2bl w:val="nil"/>
            </w:tcBorders>
            <w:shd w:val="clear" w:color="auto" w:fill="auto"/>
            <w:vAlign w:val="center"/>
          </w:tcPr>
          <w:p>
            <w:pPr>
              <w:widowControl/>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人员</w:t>
            </w:r>
          </w:p>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配备</w:t>
            </w:r>
          </w:p>
        </w:tc>
        <w:tc>
          <w:tcPr>
            <w:tcW w:w="4291"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按规定配备“五职”矿长（矿长、总工程师，负责安全、生产、机电的副矿长）和副总工程师，不得在其他煤矿兼职；学历、经历等条件符合相关规定</w:t>
            </w:r>
          </w:p>
        </w:tc>
        <w:tc>
          <w:tcPr>
            <w:tcW w:w="4429"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矿长、副矿长、总工程师、副总工程师具备煤矿相关专业大专及以上学历，具有3年以上煤矿相关工作经历，且不得在其他煤矿兼职</w:t>
            </w:r>
          </w:p>
        </w:tc>
        <w:tc>
          <w:tcPr>
            <w:tcW w:w="3066" w:type="dxa"/>
            <w:tcBorders>
              <w:tl2br w:val="nil"/>
              <w:tr2bl w:val="nil"/>
            </w:tcBorders>
            <w:shd w:val="clear" w:color="auto" w:fill="auto"/>
            <w:vAlign w:val="center"/>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明确为“五职”矿长</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986" w:hRule="atLeast"/>
          <w:jc w:val="center"/>
        </w:trPr>
        <w:tc>
          <w:tcPr>
            <w:tcW w:w="980"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1108" w:type="dxa"/>
            <w:gridSpan w:val="2"/>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4291"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煤矿根据不同的灾害类型（指突出、冲击地压、水文地质类型复杂和极复杂、开采容易自燃和自燃煤层）配备满足工作需要的</w:t>
            </w:r>
            <w:r>
              <w:rPr>
                <w:rFonts w:hint="eastAsia" w:ascii="宋体" w:hAnsi="宋体" w:eastAsia="宋体" w:cs="宋体"/>
                <w:color w:val="0000FF"/>
                <w:kern w:val="0"/>
                <w:sz w:val="21"/>
                <w:szCs w:val="21"/>
                <w:highlight w:val="none"/>
              </w:rPr>
              <w:t>安全生产管理人员、专业技术人员</w:t>
            </w:r>
            <w:r>
              <w:rPr>
                <w:rFonts w:hint="eastAsia" w:ascii="宋体" w:hAnsi="宋体" w:eastAsia="宋体" w:cs="宋体"/>
                <w:kern w:val="0"/>
                <w:sz w:val="21"/>
                <w:szCs w:val="21"/>
                <w:highlight w:val="none"/>
              </w:rPr>
              <w:t>；人员学历、经历等条件符合相关规定</w:t>
            </w:r>
          </w:p>
        </w:tc>
        <w:tc>
          <w:tcPr>
            <w:tcW w:w="4429"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安全生产管理人员经考核合格；安全生产管理机构负责人具备煤矿相关专业中专及以上学历，具有2年以上煤矿安全生产相关工作经历</w:t>
            </w:r>
          </w:p>
          <w:p>
            <w:pPr>
              <w:pStyle w:val="11"/>
              <w:rPr>
                <w:rFonts w:hint="eastAsia" w:ascii="宋体" w:hAnsi="宋体" w:eastAsia="宋体" w:cs="宋体"/>
                <w:sz w:val="21"/>
                <w:szCs w:val="21"/>
                <w:highlight w:val="none"/>
              </w:rPr>
            </w:pPr>
            <w:r>
              <w:rPr>
                <w:rFonts w:hint="eastAsia" w:ascii="宋体" w:hAnsi="宋体" w:eastAsia="宋体" w:cs="宋体"/>
                <w:sz w:val="21"/>
                <w:szCs w:val="21"/>
                <w:highlight w:val="none"/>
              </w:rPr>
              <w:t>2.安全生产管理人员经考核合格；安全生产管理机构负责人具备煤矿相关专业中专及以上学历，具有2年以上煤矿安全生产相关工作经历</w:t>
            </w:r>
          </w:p>
          <w:p>
            <w:pPr>
              <w:pStyle w:val="11"/>
              <w:rPr>
                <w:rFonts w:hint="eastAsia" w:ascii="宋体" w:hAnsi="宋体" w:eastAsia="宋体" w:cs="宋体"/>
                <w:sz w:val="21"/>
                <w:szCs w:val="21"/>
                <w:highlight w:val="none"/>
              </w:rPr>
            </w:pPr>
            <w:r>
              <w:rPr>
                <w:rFonts w:hint="eastAsia" w:ascii="宋体" w:hAnsi="宋体" w:eastAsia="宋体" w:cs="宋体"/>
                <w:sz w:val="21"/>
                <w:szCs w:val="21"/>
                <w:highlight w:val="none"/>
              </w:rPr>
              <w:t>3.明确总工程师为矿井防突和冲击地压防治工作技术负责人，对防治技术工作负责</w:t>
            </w:r>
          </w:p>
          <w:p>
            <w:pPr>
              <w:pStyle w:val="11"/>
              <w:rPr>
                <w:rFonts w:hint="eastAsia" w:ascii="宋体" w:hAnsi="宋体" w:eastAsia="宋体" w:cs="宋体"/>
                <w:sz w:val="21"/>
                <w:szCs w:val="21"/>
                <w:highlight w:val="none"/>
              </w:rPr>
            </w:pPr>
            <w:r>
              <w:rPr>
                <w:rFonts w:hint="eastAsia" w:ascii="宋体" w:hAnsi="宋体" w:eastAsia="宋体" w:cs="宋体"/>
                <w:sz w:val="21"/>
                <w:szCs w:val="21"/>
                <w:highlight w:val="none"/>
              </w:rPr>
              <w:t>4.配备满足安全生产工作需要的副总工程师；水文地质类型复杂、极复杂矿井配备防治水副总工程师，地质类型复杂、极复杂的煤矿配备地质副总工程师</w:t>
            </w:r>
          </w:p>
          <w:p>
            <w:pPr>
              <w:pStyle w:val="11"/>
              <w:rPr>
                <w:rFonts w:hint="eastAsia" w:ascii="宋体" w:hAnsi="宋体" w:eastAsia="宋体" w:cs="宋体"/>
                <w:sz w:val="21"/>
                <w:szCs w:val="21"/>
                <w:highlight w:val="none"/>
              </w:rPr>
            </w:pPr>
            <w:r>
              <w:rPr>
                <w:rFonts w:hint="eastAsia" w:ascii="宋体" w:hAnsi="宋体" w:eastAsia="宋体" w:cs="宋体"/>
                <w:sz w:val="21"/>
                <w:szCs w:val="21"/>
                <w:highlight w:val="none"/>
              </w:rPr>
              <w:t>1.冲击地压矿井配备满足工作需要的防冲专业技术人员；水文地质类型复杂、极复杂矿井配备满足工作需要的防治水专业技术人员；突出矿井的防突机构专业技术人员不少于2人</w:t>
            </w:r>
          </w:p>
          <w:p>
            <w:pPr>
              <w:pStyle w:val="11"/>
              <w:rPr>
                <w:rFonts w:hint="eastAsia" w:ascii="宋体" w:hAnsi="宋体" w:eastAsia="宋体" w:cs="宋体"/>
                <w:sz w:val="21"/>
                <w:szCs w:val="21"/>
                <w:highlight w:val="none"/>
              </w:rPr>
            </w:pPr>
            <w:r>
              <w:rPr>
                <w:rFonts w:hint="eastAsia" w:ascii="宋体" w:hAnsi="宋体" w:eastAsia="宋体" w:cs="宋体"/>
                <w:sz w:val="21"/>
                <w:szCs w:val="21"/>
                <w:highlight w:val="none"/>
              </w:rPr>
              <w:t>2.专业技术人员具备煤矿相关专业中专以上学历或注册安全工程师资格</w:t>
            </w:r>
          </w:p>
        </w:tc>
        <w:tc>
          <w:tcPr>
            <w:tcW w:w="3066" w:type="dxa"/>
            <w:tcBorders>
              <w:tl2br w:val="nil"/>
              <w:tr2bl w:val="nil"/>
            </w:tcBorders>
            <w:shd w:val="clear" w:color="auto" w:fill="auto"/>
            <w:vAlign w:val="center"/>
          </w:tcPr>
          <w:p>
            <w:pP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对安全生产管理人员、专业技术人员的要求进行了归纳，具体要求放至第三部分专业管理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211" w:hRule="atLeast"/>
          <w:jc w:val="center"/>
        </w:trPr>
        <w:tc>
          <w:tcPr>
            <w:tcW w:w="980"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1108" w:type="dxa"/>
            <w:gridSpan w:val="2"/>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4291"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配备满足安全生产工作需要的特种作业人员和其他从业人员，并持证上岗。</w:t>
            </w:r>
            <w:r>
              <w:rPr>
                <w:rFonts w:hint="eastAsia" w:ascii="宋体" w:hAnsi="宋体" w:eastAsia="宋体" w:cs="宋体"/>
                <w:color w:val="0000FF"/>
                <w:kern w:val="0"/>
                <w:sz w:val="21"/>
                <w:szCs w:val="21"/>
                <w:highlight w:val="none"/>
              </w:rPr>
              <w:t>井下工作岗位不得使用劳务派遣工</w:t>
            </w:r>
          </w:p>
        </w:tc>
        <w:tc>
          <w:tcPr>
            <w:tcW w:w="4429"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特种作业人员应当具备高中及以上文化程度（2018年6月1日前上岗的煤矿特种作业人员可具备初中及以上文化程度），具有煤矿相关工作经历，或者职业高中、技工学校及中专以上相关专业学历，并取得省级煤矿安全培训主管部门颁发的《中华人民共和国特种作业操作证》</w:t>
            </w:r>
          </w:p>
        </w:tc>
        <w:tc>
          <w:tcPr>
            <w:tcW w:w="3066" w:type="dxa"/>
            <w:tcBorders>
              <w:tl2br w:val="nil"/>
              <w:tr2bl w:val="nil"/>
            </w:tcBorders>
            <w:shd w:val="clear" w:color="auto" w:fill="auto"/>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新增：</w:t>
            </w:r>
            <w:r>
              <w:rPr>
                <w:rFonts w:hint="eastAsia" w:ascii="宋体" w:hAnsi="宋体" w:eastAsia="宋体" w:cs="宋体"/>
                <w:color w:val="auto"/>
                <w:sz w:val="21"/>
                <w:szCs w:val="21"/>
                <w:highlight w:val="none"/>
              </w:rPr>
              <w:t>井下工作岗位不得使用劳务派遣工</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145" w:hRule="atLeast"/>
          <w:jc w:val="center"/>
        </w:trPr>
        <w:tc>
          <w:tcPr>
            <w:tcW w:w="980" w:type="dxa"/>
            <w:vMerge w:val="restart"/>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三、安全制度（10分）</w:t>
            </w:r>
          </w:p>
        </w:tc>
        <w:tc>
          <w:tcPr>
            <w:tcW w:w="1108" w:type="dxa"/>
            <w:gridSpan w:val="2"/>
            <w:tcBorders>
              <w:tl2br w:val="nil"/>
              <w:tr2bl w:val="nil"/>
            </w:tcBorders>
            <w:shd w:val="clear" w:color="auto" w:fill="auto"/>
            <w:vAlign w:val="center"/>
          </w:tcPr>
          <w:p>
            <w:pPr>
              <w:widowControl/>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制度</w:t>
            </w:r>
          </w:p>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建立</w:t>
            </w:r>
          </w:p>
        </w:tc>
        <w:tc>
          <w:tcPr>
            <w:tcW w:w="4291"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依据相关法律、法规、规章、规范、标准，结合煤矿实际，至少建立以下安全管理制度：安全生产责任制管理考核制度；安全办公会议制度；</w:t>
            </w:r>
            <w:r>
              <w:rPr>
                <w:rFonts w:hint="eastAsia" w:ascii="宋体" w:hAnsi="宋体" w:eastAsia="宋体" w:cs="宋体"/>
                <w:color w:val="auto"/>
                <w:kern w:val="0"/>
                <w:sz w:val="21"/>
                <w:szCs w:val="21"/>
                <w:highlight w:val="none"/>
              </w:rPr>
              <w:t>矿领导带班下井（坑）制度</w:t>
            </w:r>
            <w:r>
              <w:rPr>
                <w:rFonts w:hint="eastAsia" w:ascii="宋体" w:hAnsi="宋体" w:eastAsia="宋体" w:cs="宋体"/>
                <w:kern w:val="0"/>
                <w:sz w:val="21"/>
                <w:szCs w:val="21"/>
                <w:highlight w:val="none"/>
              </w:rPr>
              <w:t>；安全投入保障制度；安全监督检查制度；安全技术措施审批制度；矿用设备、器材使用管理制度；主要灾害预防管理制度；安全奖惩制度；安全操作规程管理制度；事故报告与责任追究制度；“三违”管理制度</w:t>
            </w:r>
          </w:p>
        </w:tc>
        <w:tc>
          <w:tcPr>
            <w:tcW w:w="4429"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至少建立以下安全管理制度，主要包括：安全生产责任制管理考核制度；安全办公会议制度；安全投入保障制度；安全监督检查制度；安全技术措施审批制度；矿用设备、器材使用管理制度；矿井主要灾害预防管理制度；安全奖惩制度；安全操作规程管理制度；事故报告与责任追究制度；事故应急救援制度；“三违”管理制度；矿领导带班下井（坑）制度</w:t>
            </w:r>
          </w:p>
        </w:tc>
        <w:tc>
          <w:tcPr>
            <w:tcW w:w="3066" w:type="dxa"/>
            <w:tcBorders>
              <w:tl2br w:val="nil"/>
              <w:tr2bl w:val="nil"/>
            </w:tcBorders>
            <w:shd w:val="clear" w:color="auto" w:fill="auto"/>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无变化</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211" w:hRule="atLeast"/>
          <w:jc w:val="center"/>
        </w:trPr>
        <w:tc>
          <w:tcPr>
            <w:tcW w:w="980"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1108" w:type="dxa"/>
            <w:gridSpan w:val="2"/>
            <w:tcBorders>
              <w:tl2br w:val="nil"/>
              <w:tr2bl w:val="nil"/>
            </w:tcBorders>
            <w:shd w:val="clear" w:color="auto" w:fill="auto"/>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安全生产责任制</w:t>
            </w:r>
          </w:p>
        </w:tc>
        <w:tc>
          <w:tcPr>
            <w:tcW w:w="4291" w:type="dxa"/>
            <w:tcBorders>
              <w:tl2br w:val="nil"/>
              <w:tr2bl w:val="nil"/>
            </w:tcBorders>
            <w:shd w:val="clear" w:color="auto" w:fill="auto"/>
            <w:vAlign w:val="center"/>
          </w:tcPr>
          <w:p>
            <w:pPr>
              <w:widowControl/>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建立健全覆盖各层级负责人、各部门（区队）、各岗位的安全生产责任制，明确安全责任范围，并对安全生产责任落实不到位人员按照本矿规定问责</w:t>
            </w:r>
          </w:p>
        </w:tc>
        <w:tc>
          <w:tcPr>
            <w:tcW w:w="4429" w:type="dxa"/>
            <w:tcBorders>
              <w:tl2br w:val="nil"/>
              <w:tr2bl w:val="nil"/>
            </w:tcBorders>
            <w:shd w:val="clear" w:color="auto" w:fill="auto"/>
            <w:vAlign w:val="center"/>
          </w:tcPr>
          <w:p>
            <w:pPr>
              <w:widowControl/>
              <w:jc w:val="both"/>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1.建立煤矿矿长（法定代表人、实际控制人）为安全生产第一责任人，副矿长、总工程师分工负责的安全生产责任制，并以正式文件下发</w:t>
            </w:r>
          </w:p>
          <w:p>
            <w:pPr>
              <w:widowControl/>
              <w:jc w:val="both"/>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2.明确部门、科室、区（队）、班组等各级单位安全生产责任</w:t>
            </w:r>
          </w:p>
          <w:p>
            <w:pPr>
              <w:widowControl/>
              <w:jc w:val="both"/>
              <w:textAlignment w:val="center"/>
              <w:rPr>
                <w:rFonts w:hint="eastAsia" w:ascii="宋体" w:hAnsi="宋体" w:eastAsia="宋体" w:cs="宋体"/>
                <w:color w:val="FF0000"/>
                <w:sz w:val="21"/>
                <w:szCs w:val="21"/>
                <w:highlight w:val="none"/>
              </w:rPr>
            </w:pPr>
            <w:r>
              <w:rPr>
                <w:rFonts w:hint="eastAsia" w:ascii="宋体" w:hAnsi="宋体" w:eastAsia="宋体" w:cs="宋体"/>
                <w:sz w:val="21"/>
                <w:szCs w:val="21"/>
                <w:highlight w:val="none"/>
              </w:rPr>
              <w:t>3.</w:t>
            </w:r>
            <w:r>
              <w:rPr>
                <w:rFonts w:hint="eastAsia" w:ascii="宋体" w:hAnsi="宋体" w:eastAsia="宋体" w:cs="宋体"/>
                <w:color w:val="auto"/>
                <w:sz w:val="21"/>
                <w:szCs w:val="21"/>
                <w:highlight w:val="none"/>
              </w:rPr>
              <w:t>制定各岗位安全生产责任制，明确责任范围，</w:t>
            </w:r>
            <w:r>
              <w:rPr>
                <w:rFonts w:hint="eastAsia" w:ascii="宋体" w:hAnsi="宋体" w:eastAsia="宋体" w:cs="宋体"/>
                <w:color w:val="FF0000"/>
                <w:sz w:val="21"/>
                <w:szCs w:val="21"/>
                <w:highlight w:val="none"/>
              </w:rPr>
              <w:t>岗位有固定工作场所的，在适当位置进行长期公示</w:t>
            </w:r>
          </w:p>
          <w:p>
            <w:pPr>
              <w:pStyle w:val="11"/>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依据全年安全生产责任落实情况进行全员考核，制定落实考核方案，并将考核结果纳入岗位绩效管理</w:t>
            </w:r>
          </w:p>
          <w:p>
            <w:pPr>
              <w:pStyle w:val="6"/>
              <w:jc w:val="both"/>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kern w:val="2"/>
                <w:sz w:val="21"/>
                <w:szCs w:val="21"/>
                <w:highlight w:val="none"/>
                <w:lang w:val="en-US" w:eastAsia="zh-CN" w:bidi="ar-SA"/>
              </w:rPr>
              <w:t>5.将全员安全生产责任制教育培训工作纳入安全生产年度培训计划，全员掌握本岗位安全生产职责</w:t>
            </w:r>
          </w:p>
          <w:p>
            <w:pPr>
              <w:pStyle w:val="6"/>
              <w:jc w:val="both"/>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SA"/>
              </w:rPr>
              <w:t>6.</w:t>
            </w:r>
            <w:r>
              <w:rPr>
                <w:rFonts w:hint="eastAsia" w:ascii="宋体" w:hAnsi="宋体" w:eastAsia="宋体" w:cs="宋体"/>
                <w:kern w:val="0"/>
                <w:sz w:val="21"/>
                <w:szCs w:val="21"/>
                <w:highlight w:val="none"/>
              </w:rPr>
              <w:t>对违反制度的行为和现象有明确、具体的处罚措施和责任追究办</w:t>
            </w:r>
            <w:r>
              <w:rPr>
                <w:rFonts w:hint="eastAsia" w:ascii="宋体" w:hAnsi="宋体" w:eastAsia="宋体" w:cs="宋体"/>
                <w:kern w:val="0"/>
                <w:sz w:val="21"/>
                <w:szCs w:val="21"/>
                <w:highlight w:val="none"/>
                <w:u w:val="none"/>
              </w:rPr>
              <w:t>法，并严格落实</w:t>
            </w:r>
          </w:p>
        </w:tc>
        <w:tc>
          <w:tcPr>
            <w:tcW w:w="3066" w:type="dxa"/>
            <w:tcBorders>
              <w:tl2br w:val="nil"/>
              <w:tr2bl w:val="nil"/>
            </w:tcBorders>
            <w:shd w:val="clear" w:color="auto" w:fill="auto"/>
            <w:vAlign w:val="center"/>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对要求进行了归纳，删除了公示和全员培训的要求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897" w:hRule="atLeast"/>
          <w:jc w:val="center"/>
        </w:trPr>
        <w:tc>
          <w:tcPr>
            <w:tcW w:w="980"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1108" w:type="dxa"/>
            <w:gridSpan w:val="2"/>
            <w:tcBorders>
              <w:tl2br w:val="nil"/>
              <w:tr2bl w:val="nil"/>
            </w:tcBorders>
            <w:shd w:val="clear" w:color="auto" w:fill="auto"/>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安全办公会议</w:t>
            </w:r>
          </w:p>
        </w:tc>
        <w:tc>
          <w:tcPr>
            <w:tcW w:w="4291"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color w:val="00B0F0"/>
                <w:kern w:val="0"/>
                <w:sz w:val="21"/>
                <w:szCs w:val="21"/>
                <w:highlight w:val="none"/>
              </w:rPr>
              <w:t>定期</w:t>
            </w:r>
            <w:r>
              <w:rPr>
                <w:rFonts w:hint="eastAsia" w:ascii="宋体" w:hAnsi="宋体" w:eastAsia="宋体" w:cs="宋体"/>
                <w:kern w:val="0"/>
                <w:sz w:val="21"/>
                <w:szCs w:val="21"/>
                <w:highlight w:val="none"/>
              </w:rPr>
              <w:t>召开安全办公会议由矿长主持，总工程师、副矿长、副总工程师、</w:t>
            </w:r>
            <w:r>
              <w:rPr>
                <w:rFonts w:hint="eastAsia" w:ascii="宋体" w:hAnsi="宋体" w:eastAsia="宋体" w:cs="宋体"/>
                <w:color w:val="00B0F0"/>
                <w:kern w:val="0"/>
                <w:sz w:val="21"/>
                <w:szCs w:val="21"/>
                <w:highlight w:val="none"/>
              </w:rPr>
              <w:t>职能科室和基层区队等负责人</w:t>
            </w:r>
            <w:r>
              <w:rPr>
                <w:rFonts w:hint="eastAsia" w:ascii="宋体" w:hAnsi="宋体" w:eastAsia="宋体" w:cs="宋体"/>
                <w:kern w:val="0"/>
                <w:sz w:val="21"/>
                <w:szCs w:val="21"/>
                <w:highlight w:val="none"/>
              </w:rPr>
              <w:t>参加，总结分析管理</w:t>
            </w:r>
            <w:r>
              <w:rPr>
                <w:rFonts w:hint="eastAsia" w:ascii="宋体" w:hAnsi="宋体" w:eastAsia="宋体" w:cs="宋体"/>
                <w:color w:val="00B0F0"/>
                <w:kern w:val="0"/>
                <w:sz w:val="21"/>
                <w:szCs w:val="21"/>
                <w:highlight w:val="none"/>
              </w:rPr>
              <w:t>周期</w:t>
            </w:r>
            <w:r>
              <w:rPr>
                <w:rFonts w:hint="eastAsia" w:ascii="宋体" w:hAnsi="宋体" w:eastAsia="宋体" w:cs="宋体"/>
                <w:kern w:val="0"/>
                <w:sz w:val="21"/>
                <w:szCs w:val="21"/>
                <w:highlight w:val="none"/>
              </w:rPr>
              <w:t>内安全工作情况，安排部署下一管理周期的安全工作，形成会议纪要</w:t>
            </w:r>
          </w:p>
        </w:tc>
        <w:tc>
          <w:tcPr>
            <w:tcW w:w="4429"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建立由矿长牵头、分管负责人参加的安全办公会议机制，议定内容包括安全生产理念和目标、机构配置和人员定编、年度安全投入计划、重大灾害治理方案、应急救援预案、重大风险管控方案、采掘（采剥）接续计划等工作的制定和调整等，形成会议纪要</w:t>
            </w:r>
          </w:p>
        </w:tc>
        <w:tc>
          <w:tcPr>
            <w:tcW w:w="3066" w:type="dxa"/>
            <w:tcBorders>
              <w:tl2br w:val="nil"/>
              <w:tr2bl w:val="nil"/>
            </w:tcBorders>
            <w:shd w:val="clear" w:color="auto" w:fill="auto"/>
            <w:vAlign w:val="center"/>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明确要求定期召开，要求职能科室和基层区队等负责人参加</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156" w:hRule="atLeast"/>
          <w:jc w:val="center"/>
        </w:trPr>
        <w:tc>
          <w:tcPr>
            <w:tcW w:w="980"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1108" w:type="dxa"/>
            <w:gridSpan w:val="2"/>
            <w:tcBorders>
              <w:tl2br w:val="nil"/>
              <w:tr2bl w:val="nil"/>
            </w:tcBorders>
            <w:shd w:val="clear" w:color="auto" w:fill="auto"/>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矿领导带班下井（坑）</w:t>
            </w:r>
          </w:p>
        </w:tc>
        <w:tc>
          <w:tcPr>
            <w:tcW w:w="4291"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煤矿每班有矿领导带班下井（坑），并建立实名登记档案；带班信息在井工煤矿井口、露天煤矿调度室或交接班室等显著位置公示</w:t>
            </w:r>
          </w:p>
        </w:tc>
        <w:tc>
          <w:tcPr>
            <w:tcW w:w="4429"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p>
        </w:tc>
        <w:tc>
          <w:tcPr>
            <w:tcW w:w="3066" w:type="dxa"/>
            <w:tcBorders>
              <w:tl2br w:val="nil"/>
              <w:tr2bl w:val="nil"/>
            </w:tcBorders>
            <w:shd w:val="clear" w:color="auto" w:fill="auto"/>
            <w:vAlign w:val="center"/>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新增</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156" w:hRule="atLeast"/>
          <w:jc w:val="center"/>
        </w:trPr>
        <w:tc>
          <w:tcPr>
            <w:tcW w:w="980"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1108" w:type="dxa"/>
            <w:gridSpan w:val="2"/>
            <w:tcBorders>
              <w:tl2br w:val="nil"/>
              <w:tr2bl w:val="nil"/>
            </w:tcBorders>
            <w:shd w:val="clear" w:color="auto" w:fill="auto"/>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安全投入保障</w:t>
            </w:r>
          </w:p>
        </w:tc>
        <w:tc>
          <w:tcPr>
            <w:tcW w:w="4291"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编制年度安全生产费用提取和使用计划，严格按照国家规定的标准足额提取，并在规定的范围使用；建立台账，规范管理</w:t>
            </w:r>
          </w:p>
        </w:tc>
        <w:tc>
          <w:tcPr>
            <w:tcW w:w="4429"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p>
        </w:tc>
        <w:tc>
          <w:tcPr>
            <w:tcW w:w="3066" w:type="dxa"/>
            <w:tcBorders>
              <w:tl2br w:val="nil"/>
              <w:tr2bl w:val="nil"/>
            </w:tcBorders>
            <w:shd w:val="clear" w:color="auto" w:fill="auto"/>
            <w:vAlign w:val="center"/>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新增</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784" w:hRule="atLeast"/>
          <w:jc w:val="center"/>
        </w:trPr>
        <w:tc>
          <w:tcPr>
            <w:tcW w:w="980" w:type="dxa"/>
            <w:vMerge w:val="restart"/>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四、安全培训（15分）</w:t>
            </w:r>
          </w:p>
        </w:tc>
        <w:tc>
          <w:tcPr>
            <w:tcW w:w="1108" w:type="dxa"/>
            <w:gridSpan w:val="2"/>
            <w:tcBorders>
              <w:tl2br w:val="nil"/>
              <w:tr2bl w:val="nil"/>
            </w:tcBorders>
            <w:shd w:val="clear" w:color="auto" w:fill="auto"/>
            <w:vAlign w:val="center"/>
          </w:tcPr>
          <w:p>
            <w:pPr>
              <w:widowControl/>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基础</w:t>
            </w:r>
          </w:p>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保障</w:t>
            </w:r>
          </w:p>
        </w:tc>
        <w:tc>
          <w:tcPr>
            <w:tcW w:w="4291" w:type="dxa"/>
            <w:tcBorders>
              <w:tl2br w:val="nil"/>
              <w:tr2bl w:val="nil"/>
            </w:tcBorders>
            <w:shd w:val="clear" w:color="auto" w:fill="auto"/>
            <w:vAlign w:val="center"/>
          </w:tcPr>
          <w:p>
            <w:pPr>
              <w:widowControl/>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建立并执行安全培训管理制度；严格按照规定的比例提取和使用教育培训经费，做到专款专用。具备安全生产培训条件的煤矿企业自主开展安全技术培训，不具备培训条件的煤矿，应委托具备安全生产培训条件的机构进行安全培训</w:t>
            </w:r>
          </w:p>
        </w:tc>
        <w:tc>
          <w:tcPr>
            <w:tcW w:w="4429"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1.建立并执行安全培训管理制度，对培训需求调研、培训策划设计、教学管理组织、学员考核、培训登记、档案管理、过程控制、经费管理、后勤保障、质量评估、教师管理等工作进行规定</w:t>
            </w:r>
          </w:p>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2.具备安全培训条件（符合AQ/T 8011—2016要求）的煤矿，按规定配备同安全培训范围及规模相适应、相对稳定的师资队伍和装备、设施；不具备培训条件的煤矿，应委托具备安全培训条件的机构进行安全培训</w:t>
            </w:r>
          </w:p>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3.按照规定比例提取和使用安全培训经费，做到专款专用</w:t>
            </w:r>
          </w:p>
        </w:tc>
        <w:tc>
          <w:tcPr>
            <w:tcW w:w="3066" w:type="dxa"/>
            <w:tcBorders>
              <w:tl2br w:val="nil"/>
              <w:tr2bl w:val="nil"/>
            </w:tcBorders>
            <w:shd w:val="clear" w:color="auto" w:fill="auto"/>
            <w:vAlign w:val="center"/>
          </w:tcPr>
          <w:p>
            <w:pPr>
              <w:rPr>
                <w:rFonts w:hint="eastAsia" w:ascii="宋体" w:hAnsi="宋体" w:eastAsia="宋体" w:cs="宋体"/>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7244" w:hRule="atLeast"/>
          <w:jc w:val="center"/>
        </w:trPr>
        <w:tc>
          <w:tcPr>
            <w:tcW w:w="980"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1108" w:type="dxa"/>
            <w:gridSpan w:val="2"/>
            <w:vMerge w:val="restart"/>
            <w:tcBorders>
              <w:tl2br w:val="nil"/>
              <w:tr2bl w:val="nil"/>
            </w:tcBorders>
            <w:shd w:val="clear" w:color="auto" w:fill="auto"/>
            <w:vAlign w:val="center"/>
          </w:tcPr>
          <w:p>
            <w:pPr>
              <w:widowControl/>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组织</w:t>
            </w:r>
          </w:p>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实施</w:t>
            </w:r>
          </w:p>
        </w:tc>
        <w:tc>
          <w:tcPr>
            <w:tcW w:w="4291"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矿长组织制定并实施安全生产教育和培训计划。培训对象覆盖所有从业人员，安全培训学时符合规定</w:t>
            </w:r>
          </w:p>
        </w:tc>
        <w:tc>
          <w:tcPr>
            <w:tcW w:w="4429"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1.矿长组织制定并实施安全生产教育和培训计划，组织制定并推动实施安全技能提升培训计划</w:t>
            </w:r>
          </w:p>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2.培训对象覆盖所有从业人员</w:t>
            </w:r>
          </w:p>
          <w:p>
            <w:pPr>
              <w:pStyle w:val="11"/>
              <w:rPr>
                <w:rFonts w:hint="eastAsia" w:ascii="宋体" w:hAnsi="宋体" w:eastAsia="宋体" w:cs="宋体"/>
                <w:sz w:val="21"/>
                <w:szCs w:val="21"/>
                <w:highlight w:val="none"/>
              </w:rPr>
            </w:pPr>
            <w:r>
              <w:rPr>
                <w:rFonts w:hint="eastAsia" w:ascii="宋体" w:hAnsi="宋体" w:eastAsia="宋体" w:cs="宋体"/>
                <w:sz w:val="21"/>
                <w:szCs w:val="21"/>
                <w:highlight w:val="none"/>
              </w:rPr>
              <w:t>3.安全培训学时符合规定</w:t>
            </w:r>
          </w:p>
          <w:p>
            <w:pPr>
              <w:pStyle w:val="11"/>
              <w:rPr>
                <w:rFonts w:hint="eastAsia" w:ascii="宋体" w:hAnsi="宋体" w:eastAsia="宋体" w:cs="宋体"/>
                <w:sz w:val="21"/>
                <w:szCs w:val="21"/>
                <w:highlight w:val="none"/>
              </w:rPr>
            </w:pPr>
            <w:r>
              <w:rPr>
                <w:rFonts w:hint="eastAsia" w:ascii="宋体" w:hAnsi="宋体" w:eastAsia="宋体" w:cs="宋体"/>
                <w:color w:val="FF0000"/>
                <w:sz w:val="21"/>
                <w:szCs w:val="21"/>
                <w:highlight w:val="none"/>
              </w:rPr>
              <w:t>4.针对不同专业的培训对象和培训类别，开展有针对性的培训；对新法律法规、新标准、新规程及使用新工艺、新技术、新设备、新材料时，对有关从业人员实施针对性安全再培训</w:t>
            </w:r>
          </w:p>
          <w:p>
            <w:pPr>
              <w:pStyle w:val="11"/>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rPr>
              <w:t>5.矿长和职业病危害防治管理人员接受职业病危害防治培训；接触职业病危害因素的从业人员上岗前接受职业病危害防治培训和在岗期间的定期职业病危害防治培训</w:t>
            </w:r>
          </w:p>
          <w:p>
            <w:pPr>
              <w:pStyle w:val="11"/>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rPr>
              <w:t>6.井工煤矿从事采煤、掘进、机电、运输、通风、地测、防治水等工作的班组长任职前接受专门的安全培训并经考核合格，按计划接受安全技能提升专项培训；班组长的安全培训，应当由所在煤矿上一级企业组织实施，没有上一级煤矿企业的，由本单位组织实施</w:t>
            </w:r>
          </w:p>
          <w:p>
            <w:pPr>
              <w:pStyle w:val="11"/>
              <w:rPr>
                <w:rFonts w:hint="eastAsia" w:ascii="宋体" w:hAnsi="宋体" w:eastAsia="宋体" w:cs="宋体"/>
                <w:sz w:val="21"/>
                <w:szCs w:val="21"/>
                <w:highlight w:val="none"/>
              </w:rPr>
            </w:pPr>
            <w:r>
              <w:rPr>
                <w:rFonts w:hint="eastAsia" w:ascii="宋体" w:hAnsi="宋体" w:eastAsia="宋体" w:cs="宋体"/>
                <w:color w:val="FF0000"/>
                <w:sz w:val="21"/>
                <w:szCs w:val="21"/>
                <w:highlight w:val="none"/>
              </w:rPr>
              <w:t>7.制定应急救援预案培训计划，组织有关人员开展应急救援预案、应急知识、自救互救和避险逃生技能的培训活动，使有关人员熟练掌握应急救援预案相关内容</w:t>
            </w:r>
          </w:p>
        </w:tc>
        <w:tc>
          <w:tcPr>
            <w:tcW w:w="3066" w:type="dxa"/>
            <w:tcBorders>
              <w:tl2br w:val="nil"/>
              <w:tr2bl w:val="nil"/>
            </w:tcBorders>
            <w:shd w:val="clear" w:color="auto" w:fill="auto"/>
            <w:vAlign w:val="center"/>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删除了专业培训、职业卫生健康和应急救援等具体培训内容的要求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82" w:hRule="atLeast"/>
          <w:jc w:val="center"/>
        </w:trPr>
        <w:tc>
          <w:tcPr>
            <w:tcW w:w="980"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1108" w:type="dxa"/>
            <w:gridSpan w:val="2"/>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4291"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组织开展生产安全事故案例警示教育</w:t>
            </w:r>
          </w:p>
        </w:tc>
        <w:tc>
          <w:tcPr>
            <w:tcW w:w="4429"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8.组织开展安全生产事故案例警示教育</w:t>
            </w:r>
          </w:p>
        </w:tc>
        <w:tc>
          <w:tcPr>
            <w:tcW w:w="3066" w:type="dxa"/>
            <w:tcBorders>
              <w:tl2br w:val="nil"/>
              <w:tr2bl w:val="nil"/>
            </w:tcBorders>
            <w:shd w:val="clear" w:color="auto" w:fill="auto"/>
            <w:vAlign w:val="center"/>
          </w:tcPr>
          <w:p>
            <w:pPr>
              <w:rPr>
                <w:rFonts w:hint="eastAsia" w:ascii="宋体" w:hAnsi="宋体" w:eastAsia="宋体" w:cs="宋体"/>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897" w:hRule="atLeast"/>
          <w:jc w:val="center"/>
        </w:trPr>
        <w:tc>
          <w:tcPr>
            <w:tcW w:w="980"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1108" w:type="dxa"/>
            <w:gridSpan w:val="2"/>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4291" w:type="dxa"/>
            <w:tcBorders>
              <w:tl2br w:val="nil"/>
              <w:tr2bl w:val="nil"/>
            </w:tcBorders>
            <w:shd w:val="clear" w:color="auto" w:fill="auto"/>
            <w:vAlign w:val="center"/>
          </w:tcPr>
          <w:p>
            <w:pPr>
              <w:widowControl/>
              <w:textAlignment w:val="center"/>
              <w:rPr>
                <w:rFonts w:hint="eastAsia" w:ascii="宋体" w:hAnsi="宋体" w:eastAsia="宋体" w:cs="宋体"/>
                <w:kern w:val="0"/>
                <w:sz w:val="21"/>
                <w:szCs w:val="21"/>
                <w:highlight w:val="none"/>
              </w:rPr>
            </w:pPr>
          </w:p>
        </w:tc>
        <w:tc>
          <w:tcPr>
            <w:tcW w:w="4429"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color w:val="FF0000"/>
                <w:sz w:val="21"/>
                <w:szCs w:val="21"/>
                <w:highlight w:val="none"/>
                <w:lang w:val="en-US" w:eastAsia="zh-CN"/>
              </w:rPr>
              <w:t>培训档案：</w:t>
            </w:r>
            <w:r>
              <w:rPr>
                <w:rFonts w:hint="eastAsia" w:ascii="宋体" w:hAnsi="宋体" w:eastAsia="宋体" w:cs="宋体"/>
                <w:sz w:val="21"/>
                <w:szCs w:val="21"/>
                <w:highlight w:val="none"/>
              </w:rPr>
              <w:t>1.建立健全从业人员安全培训档案和企业安全培训档案，实行一人一档、一期一档</w:t>
            </w:r>
          </w:p>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2.档案管理制度完善、人员明确、职责清晰，保存期限符合规定；档案可为纸质档案或电子档案</w:t>
            </w:r>
          </w:p>
        </w:tc>
        <w:tc>
          <w:tcPr>
            <w:tcW w:w="3066" w:type="dxa"/>
            <w:tcBorders>
              <w:tl2br w:val="nil"/>
              <w:tr2bl w:val="nil"/>
            </w:tcBorders>
            <w:shd w:val="clear" w:color="auto" w:fill="auto"/>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删除</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861" w:hRule="atLeast"/>
          <w:jc w:val="center"/>
        </w:trPr>
        <w:tc>
          <w:tcPr>
            <w:tcW w:w="980"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1108" w:type="dxa"/>
            <w:gridSpan w:val="2"/>
            <w:tcBorders>
              <w:tl2br w:val="nil"/>
              <w:tr2bl w:val="nil"/>
            </w:tcBorders>
            <w:shd w:val="clear" w:color="auto" w:fill="auto"/>
            <w:vAlign w:val="center"/>
          </w:tcPr>
          <w:p>
            <w:pPr>
              <w:widowControl/>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人员</w:t>
            </w:r>
          </w:p>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素质</w:t>
            </w:r>
          </w:p>
        </w:tc>
        <w:tc>
          <w:tcPr>
            <w:tcW w:w="4291"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煤矿主要负责人、安全生产管理人员安全生产知识和管理能力经考核合格；“五职”矿长每年接受矿山安全监察机构会同监管部门组织的专门安全教育培训。特种作业人员经专门的安全技术培训和考核，取得特种作业操作证。其他从业人员经培训考核合格后持证上岗；新上岗的从业人员岗前安全培训时间符合规定，并经培训考核合格后方可上岗</w:t>
            </w:r>
          </w:p>
        </w:tc>
        <w:tc>
          <w:tcPr>
            <w:tcW w:w="4429"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p>
        </w:tc>
        <w:tc>
          <w:tcPr>
            <w:tcW w:w="3066" w:type="dxa"/>
            <w:tcBorders>
              <w:tl2br w:val="nil"/>
              <w:tr2bl w:val="nil"/>
            </w:tcBorders>
            <w:shd w:val="clear" w:color="auto" w:fill="auto"/>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新增</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368" w:hRule="atLeast"/>
          <w:jc w:val="center"/>
        </w:trPr>
        <w:tc>
          <w:tcPr>
            <w:tcW w:w="980" w:type="dxa"/>
            <w:tcBorders>
              <w:tl2br w:val="nil"/>
              <w:tr2bl w:val="nil"/>
            </w:tcBorders>
            <w:shd w:val="clear" w:color="auto" w:fill="auto"/>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班组安全建设</w:t>
            </w:r>
          </w:p>
        </w:tc>
        <w:tc>
          <w:tcPr>
            <w:tcW w:w="1108" w:type="dxa"/>
            <w:gridSpan w:val="2"/>
            <w:tcBorders>
              <w:tl2br w:val="nil"/>
              <w:tr2bl w:val="nil"/>
            </w:tcBorders>
            <w:shd w:val="clear" w:color="auto" w:fill="auto"/>
            <w:vAlign w:val="center"/>
          </w:tcPr>
          <w:p>
            <w:pPr>
              <w:widowControl/>
              <w:jc w:val="center"/>
              <w:textAlignment w:val="center"/>
              <w:rPr>
                <w:rFonts w:hint="eastAsia" w:ascii="宋体" w:hAnsi="宋体" w:eastAsia="宋体" w:cs="宋体"/>
                <w:kern w:val="0"/>
                <w:sz w:val="21"/>
                <w:szCs w:val="21"/>
                <w:highlight w:val="none"/>
              </w:rPr>
            </w:pPr>
          </w:p>
        </w:tc>
        <w:tc>
          <w:tcPr>
            <w:tcW w:w="4291" w:type="dxa"/>
            <w:tcBorders>
              <w:tl2br w:val="nil"/>
              <w:tr2bl w:val="nil"/>
            </w:tcBorders>
            <w:shd w:val="clear" w:color="auto" w:fill="auto"/>
            <w:vAlign w:val="center"/>
          </w:tcPr>
          <w:p>
            <w:pPr>
              <w:widowControl/>
              <w:textAlignment w:val="center"/>
              <w:rPr>
                <w:rFonts w:hint="eastAsia" w:ascii="宋体" w:hAnsi="宋体" w:eastAsia="宋体" w:cs="宋体"/>
                <w:kern w:val="0"/>
                <w:sz w:val="21"/>
                <w:szCs w:val="21"/>
                <w:highlight w:val="none"/>
              </w:rPr>
            </w:pPr>
          </w:p>
        </w:tc>
        <w:tc>
          <w:tcPr>
            <w:tcW w:w="4429"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制度建设</w:t>
            </w:r>
          </w:p>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组织建设</w:t>
            </w:r>
          </w:p>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现场管理</w:t>
            </w:r>
          </w:p>
        </w:tc>
        <w:tc>
          <w:tcPr>
            <w:tcW w:w="3066" w:type="dxa"/>
            <w:tcBorders>
              <w:tl2br w:val="nil"/>
              <w:tr2bl w:val="nil"/>
            </w:tcBorders>
            <w:shd w:val="clear" w:color="auto" w:fill="auto"/>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删除</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368" w:hRule="atLeast"/>
          <w:jc w:val="center"/>
        </w:trPr>
        <w:tc>
          <w:tcPr>
            <w:tcW w:w="980" w:type="dxa"/>
            <w:tcBorders>
              <w:tl2br w:val="nil"/>
              <w:tr2bl w:val="nil"/>
            </w:tcBorders>
            <w:shd w:val="clear" w:color="auto" w:fill="auto"/>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不安全行为管理</w:t>
            </w:r>
          </w:p>
        </w:tc>
        <w:tc>
          <w:tcPr>
            <w:tcW w:w="1108" w:type="dxa"/>
            <w:gridSpan w:val="2"/>
            <w:tcBorders>
              <w:tl2br w:val="nil"/>
              <w:tr2bl w:val="nil"/>
            </w:tcBorders>
            <w:shd w:val="clear" w:color="auto" w:fill="auto"/>
            <w:vAlign w:val="center"/>
          </w:tcPr>
          <w:p>
            <w:pPr>
              <w:widowControl/>
              <w:jc w:val="center"/>
              <w:textAlignment w:val="center"/>
              <w:rPr>
                <w:rFonts w:hint="eastAsia" w:ascii="宋体" w:hAnsi="宋体" w:eastAsia="宋体" w:cs="宋体"/>
                <w:kern w:val="0"/>
                <w:sz w:val="21"/>
                <w:szCs w:val="21"/>
                <w:highlight w:val="none"/>
              </w:rPr>
            </w:pPr>
          </w:p>
        </w:tc>
        <w:tc>
          <w:tcPr>
            <w:tcW w:w="4291" w:type="dxa"/>
            <w:tcBorders>
              <w:tl2br w:val="nil"/>
              <w:tr2bl w:val="nil"/>
            </w:tcBorders>
            <w:shd w:val="clear" w:color="auto" w:fill="auto"/>
            <w:vAlign w:val="center"/>
          </w:tcPr>
          <w:p>
            <w:pPr>
              <w:widowControl/>
              <w:textAlignment w:val="center"/>
              <w:rPr>
                <w:rFonts w:hint="eastAsia" w:ascii="宋体" w:hAnsi="宋体" w:eastAsia="宋体" w:cs="宋体"/>
                <w:kern w:val="0"/>
                <w:sz w:val="21"/>
                <w:szCs w:val="21"/>
                <w:highlight w:val="none"/>
              </w:rPr>
            </w:pPr>
          </w:p>
        </w:tc>
        <w:tc>
          <w:tcPr>
            <w:tcW w:w="4429"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制度建立</w:t>
            </w:r>
          </w:p>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行为管控</w:t>
            </w:r>
          </w:p>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台账记录</w:t>
            </w:r>
          </w:p>
        </w:tc>
        <w:tc>
          <w:tcPr>
            <w:tcW w:w="3066" w:type="dxa"/>
            <w:tcBorders>
              <w:tl2br w:val="nil"/>
              <w:tr2bl w:val="nil"/>
            </w:tcBorders>
            <w:shd w:val="clear" w:color="auto" w:fill="auto"/>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删除</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211" w:hRule="atLeast"/>
          <w:jc w:val="center"/>
        </w:trPr>
        <w:tc>
          <w:tcPr>
            <w:tcW w:w="980" w:type="dxa"/>
            <w:vMerge w:val="restart"/>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五、风险分级管控（25分）</w:t>
            </w:r>
          </w:p>
        </w:tc>
        <w:tc>
          <w:tcPr>
            <w:tcW w:w="1108" w:type="dxa"/>
            <w:gridSpan w:val="2"/>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工作制度（3分）</w:t>
            </w:r>
          </w:p>
        </w:tc>
        <w:tc>
          <w:tcPr>
            <w:tcW w:w="4291" w:type="dxa"/>
            <w:tcBorders>
              <w:tl2br w:val="nil"/>
              <w:tr2bl w:val="nil"/>
            </w:tcBorders>
            <w:shd w:val="clear" w:color="auto" w:fill="auto"/>
            <w:vAlign w:val="center"/>
          </w:tcPr>
          <w:p>
            <w:pPr>
              <w:widowControl/>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建立安全风险分级管控工作制度，矿长全面负责，分管负责人负责分管范围内安全风险分级管控工作，副总工程师、科室、区（队）安全风险分级管控职责明确；明确安全风险辨识评估范围、方法和安全风险的辨识、评估、管控、公告等工作要求</w:t>
            </w:r>
          </w:p>
        </w:tc>
        <w:tc>
          <w:tcPr>
            <w:tcW w:w="4429" w:type="dxa"/>
            <w:tcBorders>
              <w:tl2br w:val="nil"/>
              <w:tr2bl w:val="nil"/>
            </w:tcBorders>
            <w:shd w:val="clear" w:color="auto" w:fill="auto"/>
            <w:vAlign w:val="center"/>
          </w:tcPr>
          <w:p>
            <w:pPr>
              <w:widowControl/>
              <w:jc w:val="left"/>
              <w:textAlignment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职责分工：</w:t>
            </w:r>
            <w:r>
              <w:rPr>
                <w:rFonts w:hint="eastAsia" w:ascii="宋体" w:hAnsi="宋体" w:eastAsia="宋体" w:cs="宋体"/>
                <w:sz w:val="21"/>
                <w:szCs w:val="21"/>
                <w:highlight w:val="none"/>
              </w:rPr>
              <w:t>建立安全风险分级管控工作责任体系，矿长全面负责，分管负责人负责分管范围内的安全风险分级管控工作；副总工程师、科室、区（队）安全风险分级管控的职责明确</w:t>
            </w:r>
          </w:p>
          <w:p>
            <w:pPr>
              <w:widowControl/>
              <w:jc w:val="left"/>
              <w:textAlignment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制度建设：</w:t>
            </w:r>
            <w:r>
              <w:rPr>
                <w:rFonts w:hint="eastAsia" w:ascii="宋体" w:hAnsi="宋体" w:eastAsia="宋体" w:cs="宋体"/>
                <w:sz w:val="21"/>
                <w:szCs w:val="21"/>
                <w:highlight w:val="none"/>
              </w:rPr>
              <w:t>建立安全风险分级管控工作制度，明确安全风险辨识评估范围、方法和安全风险的辨识、评估、管控、公告、报告工作流程</w:t>
            </w:r>
          </w:p>
        </w:tc>
        <w:tc>
          <w:tcPr>
            <w:tcW w:w="3066" w:type="dxa"/>
            <w:tcBorders>
              <w:tl2br w:val="nil"/>
              <w:tr2bl w:val="nil"/>
            </w:tcBorders>
            <w:shd w:val="clear" w:color="auto" w:fill="auto"/>
            <w:vAlign w:val="center"/>
          </w:tcPr>
          <w:p>
            <w:pPr>
              <w:rPr>
                <w:rFonts w:hint="eastAsia" w:ascii="宋体" w:hAnsi="宋体" w:eastAsia="宋体" w:cs="宋体"/>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6929" w:hRule="atLeast"/>
          <w:jc w:val="center"/>
        </w:trPr>
        <w:tc>
          <w:tcPr>
            <w:tcW w:w="980"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42" w:type="dxa"/>
            <w:vMerge w:val="restart"/>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风险辨识评估（15分）</w:t>
            </w:r>
          </w:p>
        </w:tc>
        <w:tc>
          <w:tcPr>
            <w:tcW w:w="566" w:type="dxa"/>
            <w:tcBorders>
              <w:tl2br w:val="nil"/>
              <w:tr2bl w:val="nil"/>
            </w:tcBorders>
            <w:shd w:val="clear" w:color="auto" w:fill="auto"/>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年度辨识评估</w:t>
            </w:r>
          </w:p>
        </w:tc>
        <w:tc>
          <w:tcPr>
            <w:tcW w:w="4291" w:type="dxa"/>
            <w:tcBorders>
              <w:tl2br w:val="nil"/>
              <w:tr2bl w:val="nil"/>
            </w:tcBorders>
            <w:shd w:val="clear" w:color="auto" w:fill="auto"/>
            <w:vAlign w:val="center"/>
          </w:tcPr>
          <w:p>
            <w:pPr>
              <w:widowControl/>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每年矿长组织各分管负责人、副总工程师和相关科室、区（队）进行年度安全风险辨识评估；重点对井工煤矿瓦斯、水、火、煤尘、顶板、冲击地压、爆破及提升运输系统，露天煤矿边坡、爆破、机电运输等容易导致群死群伤事故的危险因素开展；</w:t>
            </w:r>
          </w:p>
          <w:p>
            <w:pPr>
              <w:widowControl/>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2.风险辨识评估范围应覆盖煤矿井（坑）下所有系统、场所、区域及</w:t>
            </w:r>
            <w:r>
              <w:rPr>
                <w:rFonts w:hint="eastAsia" w:ascii="宋体" w:hAnsi="宋体" w:eastAsia="宋体" w:cs="宋体"/>
                <w:color w:val="00B0F0"/>
                <w:kern w:val="0"/>
                <w:sz w:val="21"/>
                <w:szCs w:val="21"/>
                <w:highlight w:val="none"/>
              </w:rPr>
              <w:t>变电所、通风机房、压风机房、抽采泵房等地面场所；</w:t>
            </w:r>
          </w:p>
          <w:p>
            <w:pPr>
              <w:widowControl/>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3.年底前完成下一年度安全风险辨识评估报告的编制，制定重大安全风险管控清单，清单内容至少包括风险点、风险描述、管控期限、管控措施、管控责任；</w:t>
            </w:r>
          </w:p>
          <w:p>
            <w:pP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4.年度辨识评估结果应用于指导编制下一年度灾害预防和处理计划等</w:t>
            </w:r>
          </w:p>
        </w:tc>
        <w:tc>
          <w:tcPr>
            <w:tcW w:w="4429" w:type="dxa"/>
            <w:tcBorders>
              <w:tl2br w:val="nil"/>
              <w:tr2bl w:val="nil"/>
            </w:tcBorders>
            <w:shd w:val="clear" w:color="auto" w:fill="auto"/>
            <w:vAlign w:val="center"/>
          </w:tcPr>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每年矿长组织各分管负责人、副总工程师和相关科室、区（队）进行年度安全风险辨识评估，重点对井工煤矿瓦斯、水、火、煤尘、顶板、冲击地压及提升运输系统，露天煤矿边坡、爆破、机电运输等容易导致群死群伤事故的危险因素开展安全风险辨识评估；</w:t>
            </w:r>
          </w:p>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2.风险辨识评估范围应覆盖煤矿井（坑）下所有系统、场所、区域；</w:t>
            </w:r>
          </w:p>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3.高瓦斯及突出、水文地质类型复杂和极复杂、煤层自燃及容易自燃、有冲击地压等4类重大灾害矿井，应将相应影响区域的安全风险评估为重大风险；</w:t>
            </w:r>
          </w:p>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4.年底前完成年度安全风险辨识评估报告的编制，</w:t>
            </w:r>
            <w:r>
              <w:rPr>
                <w:rFonts w:hint="eastAsia" w:ascii="宋体" w:hAnsi="宋体" w:eastAsia="宋体" w:cs="宋体"/>
                <w:color w:val="FF0000"/>
                <w:sz w:val="21"/>
                <w:szCs w:val="21"/>
                <w:highlight w:val="none"/>
              </w:rPr>
              <w:t>制定《煤矿重大安全风险管控方案》；</w:t>
            </w:r>
            <w:r>
              <w:rPr>
                <w:rFonts w:hint="eastAsia" w:ascii="宋体" w:hAnsi="宋体" w:eastAsia="宋体" w:cs="宋体"/>
                <w:sz w:val="21"/>
                <w:szCs w:val="21"/>
                <w:highlight w:val="none"/>
              </w:rPr>
              <w:t>方案应包含重大安全风险清单，相应的管理、技术、工程等管控措施，以及每条措施落实的人员、技术、时限、资金等内容；</w:t>
            </w:r>
          </w:p>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5.将辨识评估结果应用于确定下一年度安全生产工作重点，《煤矿重大安全风险管控方案》对下一年度生产计划、灾害预防和处理计划、应急救援预案、安全培训计划、安全费用提取和使用计划等提出意见</w:t>
            </w:r>
          </w:p>
        </w:tc>
        <w:tc>
          <w:tcPr>
            <w:tcW w:w="3066" w:type="dxa"/>
            <w:tcBorders>
              <w:tl2br w:val="nil"/>
              <w:tr2bl w:val="nil"/>
            </w:tcBorders>
            <w:shd w:val="clear" w:color="auto" w:fill="auto"/>
            <w:vAlign w:val="center"/>
          </w:tcPr>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1.辨识评估范围增加了地面场所；</w:t>
            </w:r>
          </w:p>
          <w:p>
            <w:pPr>
              <w:pStyle w:val="1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2.删除了编制《煤矿重大安全风险管控方案》的要求，只要求制定重大安全风险管控清单；</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784" w:hRule="atLeast"/>
          <w:jc w:val="center"/>
        </w:trPr>
        <w:tc>
          <w:tcPr>
            <w:tcW w:w="980"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42"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66" w:type="dxa"/>
            <w:vMerge w:val="restart"/>
            <w:tcBorders>
              <w:tl2br w:val="nil"/>
              <w:tr2bl w:val="nil"/>
            </w:tcBorders>
            <w:shd w:val="clear" w:color="auto" w:fill="auto"/>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专项辨识评估</w:t>
            </w:r>
          </w:p>
        </w:tc>
        <w:tc>
          <w:tcPr>
            <w:tcW w:w="4291" w:type="dxa"/>
            <w:tcBorders>
              <w:tl2br w:val="nil"/>
              <w:tr2bl w:val="nil"/>
            </w:tcBorders>
            <w:shd w:val="clear" w:color="auto" w:fill="auto"/>
            <w:vAlign w:val="center"/>
          </w:tcPr>
          <w:p>
            <w:pPr>
              <w:widowControl/>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1.新采（盘）区、新工作面设计前，由总工程师组织有关科室开展1次专项辨识评估，重点辨识评估地质条件、重大灾害因素等方面存在的安全风险，形成专项辨识评估纪要</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如有新增重大风险，应补充完善重大安全风险管控清单；</w:t>
            </w:r>
          </w:p>
          <w:p>
            <w:pP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2.辨识评估结果应用于完善设计方案，指导生产工艺选择、生产系统布置、设备选型、劳动组织确定</w:t>
            </w:r>
          </w:p>
        </w:tc>
        <w:tc>
          <w:tcPr>
            <w:tcW w:w="4429" w:type="dxa"/>
            <w:tcBorders>
              <w:tl2br w:val="nil"/>
              <w:tr2bl w:val="nil"/>
            </w:tcBorders>
            <w:shd w:val="clear" w:color="auto" w:fill="auto"/>
            <w:vAlign w:val="center"/>
          </w:tcPr>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新水平、新采（盘）区、新工作面设计前，开展1次专项辨识评估：</w:t>
            </w:r>
          </w:p>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1.专项辨识评估由总工程师组织有关科室进行；</w:t>
            </w:r>
          </w:p>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2.重点辨识评估地质条件和重大灾害因素等方面存在的安全风险；</w:t>
            </w:r>
          </w:p>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3.编制专项辨识评估报告，有新增重大风险或需调整措施的补充完善《煤矿重大安全风险管控方案》；</w:t>
            </w:r>
          </w:p>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4.辨识评估结果应用于完善设计方案，指导生产工艺选择、生产系统布置、设备选型、劳动组织确定</w:t>
            </w:r>
          </w:p>
        </w:tc>
        <w:tc>
          <w:tcPr>
            <w:tcW w:w="3066" w:type="dxa"/>
            <w:tcBorders>
              <w:tl2br w:val="nil"/>
              <w:tr2bl w:val="nil"/>
            </w:tcBorders>
            <w:shd w:val="clear" w:color="auto" w:fill="auto"/>
            <w:vAlign w:val="center"/>
          </w:tcPr>
          <w:p>
            <w:pPr>
              <w:jc w:val="left"/>
              <w:rPr>
                <w:rFonts w:hint="eastAsia" w:ascii="宋体" w:hAnsi="宋体" w:eastAsia="宋体" w:cs="宋体"/>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784" w:hRule="atLeast"/>
          <w:jc w:val="center"/>
        </w:trPr>
        <w:tc>
          <w:tcPr>
            <w:tcW w:w="980"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42"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66"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4291" w:type="dxa"/>
            <w:tcBorders>
              <w:tl2br w:val="nil"/>
              <w:tr2bl w:val="nil"/>
            </w:tcBorders>
            <w:shd w:val="clear" w:color="auto" w:fill="auto"/>
            <w:vAlign w:val="center"/>
          </w:tcPr>
          <w:p>
            <w:pPr>
              <w:widowControl/>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生产系统，生产工艺，主要设施设备，井工煤矿水、火、瓦斯、冲击地压灾害等级，露天煤矿边坡参数等发生重大变化时，新技术、新工艺、新设备、新材料试验或推广应用前，由分管负责人组织有关科室开展1次专项辨识评估，重点辨识评估作业环境、生产过程、重大灾害因素和设施设备运行等方面存在的安全风险，形成专项辨识评估纪要</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如有新增重大风险，应补充完善重大安全风险清单；</w:t>
            </w:r>
          </w:p>
          <w:p>
            <w:pP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2.辨识评估结果应用于指导编制或修订完善作业规程、操作规程</w:t>
            </w:r>
          </w:p>
        </w:tc>
        <w:tc>
          <w:tcPr>
            <w:tcW w:w="4429" w:type="dxa"/>
            <w:tcBorders>
              <w:tl2br w:val="nil"/>
              <w:tr2bl w:val="nil"/>
            </w:tcBorders>
            <w:shd w:val="clear" w:color="auto" w:fill="auto"/>
            <w:vAlign w:val="center"/>
          </w:tcPr>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生产系统、生产工艺、主要设施设备、重大灾害因素（露天煤矿爆破参数、边坡参数）等发生重大变化时，开展1次专项辨识评估：</w:t>
            </w:r>
          </w:p>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1.专项辨识评估由分管负责人组织有关科室进行；</w:t>
            </w:r>
          </w:p>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2.重点辨识评估作业环境、生产过程、重大灾害因素和设施设备运行等方面存在的安全风险；</w:t>
            </w:r>
          </w:p>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3.编制专项辨识评估报告，有新增重大风险或需调整措施的补充完善《煤矿重大安全风险管控方案》；</w:t>
            </w:r>
          </w:p>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4.辨识评估结果应用于指导编制或修订完善作业规程、操作规程</w:t>
            </w:r>
          </w:p>
        </w:tc>
        <w:tc>
          <w:tcPr>
            <w:tcW w:w="3066" w:type="dxa"/>
            <w:tcBorders>
              <w:tl2br w:val="nil"/>
              <w:tr2bl w:val="nil"/>
            </w:tcBorders>
            <w:shd w:val="clear" w:color="auto" w:fill="auto"/>
            <w:vAlign w:val="center"/>
          </w:tcPr>
          <w:p>
            <w:pPr>
              <w:jc w:val="left"/>
              <w:rPr>
                <w:rFonts w:hint="eastAsia" w:ascii="宋体" w:hAnsi="宋体" w:eastAsia="宋体" w:cs="宋体"/>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784" w:hRule="atLeast"/>
          <w:jc w:val="center"/>
        </w:trPr>
        <w:tc>
          <w:tcPr>
            <w:tcW w:w="980"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42"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66"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4291" w:type="dxa"/>
            <w:tcBorders>
              <w:tl2br w:val="nil"/>
              <w:tr2bl w:val="nil"/>
            </w:tcBorders>
            <w:shd w:val="clear" w:color="auto" w:fill="auto"/>
            <w:vAlign w:val="center"/>
          </w:tcPr>
          <w:p>
            <w:pPr>
              <w:widowControl/>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r>
              <w:rPr>
                <w:rFonts w:hint="eastAsia" w:ascii="宋体" w:hAnsi="宋体" w:eastAsia="宋体" w:cs="宋体"/>
                <w:color w:val="auto"/>
                <w:kern w:val="0"/>
                <w:sz w:val="21"/>
                <w:szCs w:val="21"/>
                <w:highlight w:val="none"/>
              </w:rPr>
              <w:t>.连续停工停产1个月以上的煤矿复工复产前，由矿长组织有关科室、区（队）开展1次专项辨识评估；</w:t>
            </w:r>
            <w:r>
              <w:rPr>
                <w:rFonts w:hint="eastAsia" w:ascii="宋体" w:hAnsi="宋体" w:eastAsia="宋体" w:cs="宋体"/>
                <w:color w:val="00B0F0"/>
                <w:kern w:val="0"/>
                <w:sz w:val="21"/>
                <w:szCs w:val="21"/>
                <w:highlight w:val="none"/>
              </w:rPr>
              <w:t>井工煤矿井下动火作业，清理煤仓，</w:t>
            </w:r>
            <w:r>
              <w:rPr>
                <w:rFonts w:hint="eastAsia" w:ascii="宋体" w:hAnsi="宋体" w:eastAsia="宋体" w:cs="宋体"/>
                <w:kern w:val="0"/>
                <w:sz w:val="21"/>
                <w:szCs w:val="21"/>
                <w:highlight w:val="none"/>
              </w:rPr>
              <w:t>启封密闭，排放瓦斯，反风演习，工作面通过空巷（采空区），采煤工作面初采和收尾，综采（放）工作面安装和回撤，掘进工作面贯通前，突出矿井石门揭煤、突出危险区过构造带等高危作业实施前，由分管负责人组织有关科室、区（队）开展1次专项辨识评估，重点辨识评估作业环境、工程技术、设备设施、现场操作等方面存在的安全风险，形成专项辨识评估纪要。如有新增重大风险，应补充完善重大安全风险清单；</w:t>
            </w:r>
          </w:p>
          <w:p>
            <w:pP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2.辨识评估结果应用于对安全技术措施编制提出指导意见</w:t>
            </w:r>
          </w:p>
        </w:tc>
        <w:tc>
          <w:tcPr>
            <w:tcW w:w="4429" w:type="dxa"/>
            <w:tcBorders>
              <w:tl2br w:val="nil"/>
              <w:tr2bl w:val="nil"/>
            </w:tcBorders>
            <w:shd w:val="clear" w:color="auto" w:fill="auto"/>
            <w:vAlign w:val="center"/>
          </w:tcPr>
          <w:p>
            <w:pPr>
              <w:widowControl/>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启封密闭、排放瓦斯、反风演习、工作面通过空巷（采空区）、</w:t>
            </w:r>
            <w:r>
              <w:rPr>
                <w:rFonts w:hint="eastAsia" w:ascii="宋体" w:hAnsi="宋体" w:eastAsia="宋体" w:cs="宋体"/>
                <w:color w:val="FF0000"/>
                <w:kern w:val="0"/>
                <w:sz w:val="21"/>
                <w:szCs w:val="21"/>
                <w:highlight w:val="none"/>
              </w:rPr>
              <w:t>更换大型设备</w:t>
            </w:r>
            <w:r>
              <w:rPr>
                <w:rFonts w:hint="eastAsia" w:ascii="宋体" w:hAnsi="宋体" w:eastAsia="宋体" w:cs="宋体"/>
                <w:kern w:val="0"/>
                <w:sz w:val="21"/>
                <w:szCs w:val="21"/>
                <w:highlight w:val="none"/>
              </w:rPr>
              <w:t>、采煤工作面初采和收尾、综采（放）工作面安装回撤、掘进工作面贯通前，突出矿井过构造带及石门揭煤等高危作业实施前，露天煤矿抛掷爆破前，新技术、新工艺、新设备、新材料试验或推广应用前，连续停工停产1个月以上的煤矿复工复产前，开展1次专项辨识评估：</w:t>
            </w:r>
          </w:p>
          <w:p>
            <w:pPr>
              <w:widowControl/>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1.专项辨识评估由分管负责人（复工复产前专项辨识评估由矿长）组织有关科室、生产组织单位（区队）进行；</w:t>
            </w:r>
          </w:p>
          <w:p>
            <w:pPr>
              <w:widowControl/>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2.重点辨识评估作业环境、工程技术、设备设施、现场操作等方面存在的安全风险；</w:t>
            </w:r>
          </w:p>
          <w:p>
            <w:pPr>
              <w:widowControl/>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3.编制专项辨识评估报告，有新增重大风险或需调整措施的补充完善《煤矿重大安全风险管控方案》；</w:t>
            </w:r>
          </w:p>
          <w:p>
            <w:pPr>
              <w:widowControl/>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4.辨识评估结果应用于对安全技术措施编制提出指导意见</w:t>
            </w:r>
          </w:p>
        </w:tc>
        <w:tc>
          <w:tcPr>
            <w:tcW w:w="3066" w:type="dxa"/>
            <w:tcBorders>
              <w:tl2br w:val="nil"/>
              <w:tr2bl w:val="nil"/>
            </w:tcBorders>
            <w:shd w:val="clear" w:color="auto" w:fill="auto"/>
            <w:vAlign w:val="center"/>
          </w:tcPr>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新增井下动火作业、清理煤仓；删除了更换大型设备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4099" w:hRule="atLeast"/>
          <w:jc w:val="center"/>
        </w:trPr>
        <w:tc>
          <w:tcPr>
            <w:tcW w:w="980"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42"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66"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4291" w:type="dxa"/>
            <w:tcBorders>
              <w:tl2br w:val="nil"/>
              <w:tr2bl w:val="nil"/>
            </w:tcBorders>
            <w:shd w:val="clear" w:color="auto" w:fill="auto"/>
            <w:vAlign w:val="center"/>
          </w:tcPr>
          <w:p>
            <w:pPr>
              <w:widowControl/>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本矿发生死亡事故或涉险事故，所在省份、隶属集团煤矿发生较大事故，全国煤矿发生重特大事故后，由矿长组织分管负责人、科室开展1次针对性的专项辨识评估，重点识别安全风险辨识评估结果及管控措施是否存在漏洞、盲区，形成专项辨识评估纪要</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如有新增重大风险，应补充完善重大安全风险清单；</w:t>
            </w:r>
          </w:p>
          <w:p>
            <w:pP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2.辨识评估结果应用于指导修订完善设计方案、作业规程、操作规程、安全技术措施</w:t>
            </w:r>
          </w:p>
        </w:tc>
        <w:tc>
          <w:tcPr>
            <w:tcW w:w="4429" w:type="dxa"/>
            <w:tcBorders>
              <w:tl2br w:val="nil"/>
              <w:tr2bl w:val="nil"/>
            </w:tcBorders>
            <w:shd w:val="clear" w:color="auto" w:fill="auto"/>
            <w:vAlign w:val="center"/>
          </w:tcPr>
          <w:p>
            <w:pPr>
              <w:widowControl/>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本矿发生死亡事故或涉险事故、出现重大事故隐患，全国煤矿发生重特大事故，或者所在省份、所属集团煤矿发生较大事故后，开展1次针对性的专项辨识评估：</w:t>
            </w:r>
          </w:p>
          <w:p>
            <w:pPr>
              <w:widowControl/>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1.专项辨识评估由矿长组织分管负责人和科室进行；</w:t>
            </w:r>
          </w:p>
          <w:p>
            <w:pPr>
              <w:widowControl/>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2.识别安全风险辨识评估结果及管控措施是否存在漏洞、盲区；</w:t>
            </w:r>
          </w:p>
          <w:p>
            <w:pPr>
              <w:widowControl/>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3.编制专项辨识评估报告，有新增重大风险或需调整措施的补充完善《煤矿重大安全风险管控方案》；</w:t>
            </w:r>
          </w:p>
          <w:p>
            <w:pPr>
              <w:widowControl/>
              <w:jc w:val="left"/>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4.辨识评估结果应用于指导修订完善设计方案、作业规程、操作规程、安全技术措施</w:t>
            </w:r>
          </w:p>
        </w:tc>
        <w:tc>
          <w:tcPr>
            <w:tcW w:w="3066" w:type="dxa"/>
            <w:tcBorders>
              <w:tl2br w:val="nil"/>
              <w:tr2bl w:val="nil"/>
            </w:tcBorders>
            <w:shd w:val="clear" w:color="auto" w:fill="auto"/>
            <w:vAlign w:val="center"/>
          </w:tcPr>
          <w:p>
            <w:pPr>
              <w:jc w:val="left"/>
              <w:rPr>
                <w:rFonts w:hint="eastAsia" w:ascii="宋体" w:hAnsi="宋体" w:eastAsia="宋体" w:cs="宋体"/>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357" w:hRule="atLeast"/>
          <w:jc w:val="center"/>
        </w:trPr>
        <w:tc>
          <w:tcPr>
            <w:tcW w:w="980"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42" w:type="dxa"/>
            <w:tcBorders>
              <w:tl2br w:val="nil"/>
              <w:tr2bl w:val="nil"/>
            </w:tcBorders>
            <w:shd w:val="clear" w:color="auto" w:fill="auto"/>
            <w:textDirection w:val="tbRlV"/>
            <w:vAlign w:val="center"/>
          </w:tcPr>
          <w:p>
            <w:pPr>
              <w:ind w:left="113" w:right="113"/>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风险管控（5分）</w:t>
            </w:r>
          </w:p>
        </w:tc>
        <w:tc>
          <w:tcPr>
            <w:tcW w:w="566" w:type="dxa"/>
            <w:tcBorders>
              <w:tl2br w:val="nil"/>
              <w:tr2bl w:val="nil"/>
            </w:tcBorders>
            <w:shd w:val="clear" w:color="auto" w:fill="auto"/>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分级管控</w:t>
            </w:r>
          </w:p>
        </w:tc>
        <w:tc>
          <w:tcPr>
            <w:tcW w:w="4291" w:type="dxa"/>
            <w:tcBorders>
              <w:tl2br w:val="nil"/>
              <w:tr2bl w:val="nil"/>
            </w:tcBorders>
            <w:shd w:val="clear" w:color="auto" w:fill="auto"/>
            <w:vAlign w:val="center"/>
          </w:tcPr>
          <w:p>
            <w:pPr>
              <w:textAlignment w:val="cente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1.矿长掌握并落实本矿重大安全风险及主要管控措施，分管负责人、副总工程师、科室负责人、专业技术人员掌握相关范围的重大安全风险及管控措施；</w:t>
            </w:r>
          </w:p>
          <w:p>
            <w:pP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2.在重大安全风险区域作业的区（队）长、班组长掌握并落实该区域重大安全风险及相应的管控措施，区（队）长、班组长组织作业时对管控措施落实情况进行现场确认；</w:t>
            </w:r>
          </w:p>
          <w:p>
            <w:pP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3.岗位人员作业前进行安全风险确认；</w:t>
            </w:r>
          </w:p>
          <w:p>
            <w:pPr>
              <w:tabs>
                <w:tab w:val="center" w:pos="4153"/>
                <w:tab w:val="right" w:pos="8306"/>
              </w:tabs>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4.矿长每年组织对重大安全风险管控措施落实情况和管控效果进行总结分析，指导下一年度安全风险管控工作（纳入全矿标准化管理体系运行分析报告）</w:t>
            </w:r>
          </w:p>
        </w:tc>
        <w:tc>
          <w:tcPr>
            <w:tcW w:w="4429" w:type="dxa"/>
            <w:tcBorders>
              <w:tl2br w:val="nil"/>
              <w:tr2bl w:val="nil"/>
            </w:tcBorders>
            <w:shd w:val="clear" w:color="auto" w:fill="auto"/>
            <w:vAlign w:val="center"/>
          </w:tcPr>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1.由矿长组织实施《煤矿重大安全风险管控方案》，人员、技术、资金满足要求，重大安全风险管控措施落实到位</w:t>
            </w:r>
          </w:p>
          <w:p>
            <w:pPr>
              <w:widowControl/>
              <w:jc w:val="left"/>
              <w:textAlignment w:val="center"/>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rPr>
              <w:t>2.有重大安全风险的区域设定作业人数上限，人数应符合有关限员规定，入口显著位置悬挂限员牌板</w:t>
            </w:r>
          </w:p>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3.矿长掌握并落实本矿重大安全风险及主要管控措施，分管负责人、副总工程师、科室负责人、专业技术人员掌握相关范围的重大安全风险及管控措施</w:t>
            </w:r>
          </w:p>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4.在重大安全风险区域作业的区（队）长、班组长掌握并落实该区域重大安全风险及相应的管控措施；区（队）长、班组长组织作业时对管控措施落实情况进行现场确认</w:t>
            </w:r>
          </w:p>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5.矿长每年组织对重大安全风险管控措施落实情况和管控效果进行总结分析，指导下一年度安全风险管控工作</w:t>
            </w:r>
          </w:p>
        </w:tc>
        <w:tc>
          <w:tcPr>
            <w:tcW w:w="3066" w:type="dxa"/>
            <w:tcBorders>
              <w:tl2br w:val="nil"/>
              <w:tr2bl w:val="nil"/>
            </w:tcBorders>
            <w:shd w:val="clear" w:color="auto" w:fill="auto"/>
            <w:vAlign w:val="center"/>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删除了“有重大安全风险的区域设定作业人数上限”的要求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105" w:hRule="atLeast"/>
          <w:jc w:val="center"/>
        </w:trPr>
        <w:tc>
          <w:tcPr>
            <w:tcW w:w="980"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42" w:type="dxa"/>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kern w:val="0"/>
                <w:sz w:val="21"/>
                <w:szCs w:val="21"/>
                <w:highlight w:val="none"/>
              </w:rPr>
            </w:pPr>
          </w:p>
        </w:tc>
        <w:tc>
          <w:tcPr>
            <w:tcW w:w="566" w:type="dxa"/>
            <w:tcBorders>
              <w:tl2br w:val="nil"/>
              <w:tr2bl w:val="nil"/>
            </w:tcBorders>
            <w:shd w:val="clear" w:color="auto" w:fill="auto"/>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color w:val="FF0000"/>
                <w:kern w:val="0"/>
                <w:sz w:val="21"/>
                <w:szCs w:val="21"/>
                <w:highlight w:val="none"/>
                <w:lang w:val="en-US" w:eastAsia="zh-CN"/>
              </w:rPr>
              <w:t>公告报告</w:t>
            </w:r>
          </w:p>
        </w:tc>
        <w:tc>
          <w:tcPr>
            <w:tcW w:w="4291" w:type="dxa"/>
            <w:tcBorders>
              <w:tl2br w:val="nil"/>
              <w:tr2bl w:val="nil"/>
            </w:tcBorders>
            <w:shd w:val="clear" w:color="auto" w:fill="auto"/>
            <w:vAlign w:val="center"/>
          </w:tcPr>
          <w:p>
            <w:pPr>
              <w:widowControl/>
              <w:jc w:val="left"/>
              <w:textAlignment w:val="center"/>
              <w:rPr>
                <w:rFonts w:hint="eastAsia" w:ascii="宋体" w:hAnsi="宋体" w:eastAsia="宋体" w:cs="宋体"/>
                <w:kern w:val="0"/>
                <w:sz w:val="21"/>
                <w:szCs w:val="21"/>
                <w:highlight w:val="none"/>
              </w:rPr>
            </w:pPr>
          </w:p>
        </w:tc>
        <w:tc>
          <w:tcPr>
            <w:tcW w:w="4429" w:type="dxa"/>
            <w:tcBorders>
              <w:tl2br w:val="nil"/>
              <w:tr2bl w:val="nil"/>
            </w:tcBorders>
            <w:shd w:val="clear" w:color="auto" w:fill="auto"/>
            <w:vAlign w:val="center"/>
          </w:tcPr>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1.在行人井口（露天煤矿交接班室）和存在重大安全风险区域的显著位置，公示存在的重大安全风险、管控责任人和主要管控措施</w:t>
            </w:r>
          </w:p>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2.每年1月31日前，矿长组织将本矿年度辨识评估得出的重大安全风险清单及其管控措施报送属地安全监管部门和驻地煤监机构</w:t>
            </w:r>
          </w:p>
        </w:tc>
        <w:tc>
          <w:tcPr>
            <w:tcW w:w="3066" w:type="dxa"/>
            <w:tcBorders>
              <w:tl2br w:val="nil"/>
              <w:tr2bl w:val="nil"/>
            </w:tcBorders>
            <w:shd w:val="clear" w:color="auto" w:fill="auto"/>
            <w:vAlign w:val="center"/>
          </w:tcPr>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删除了公告报告的要求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840" w:hRule="atLeast"/>
          <w:jc w:val="center"/>
        </w:trPr>
        <w:tc>
          <w:tcPr>
            <w:tcW w:w="980"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42" w:type="dxa"/>
            <w:vMerge w:val="restart"/>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保障措施（2分）</w:t>
            </w:r>
          </w:p>
        </w:tc>
        <w:tc>
          <w:tcPr>
            <w:tcW w:w="566" w:type="dxa"/>
            <w:tcBorders>
              <w:tl2br w:val="nil"/>
              <w:tr2bl w:val="nil"/>
            </w:tcBorders>
            <w:shd w:val="clear" w:color="auto" w:fill="auto"/>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组织宣贯</w:t>
            </w:r>
          </w:p>
        </w:tc>
        <w:tc>
          <w:tcPr>
            <w:tcW w:w="4291" w:type="dxa"/>
            <w:tcBorders>
              <w:tl2br w:val="nil"/>
              <w:tr2bl w:val="nil"/>
            </w:tcBorders>
            <w:shd w:val="clear" w:color="auto" w:fill="auto"/>
            <w:vAlign w:val="center"/>
          </w:tcPr>
          <w:p>
            <w:pPr>
              <w:widowControl/>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1.年度辨识评估完成后1个月内，对入井（坑）、地面相关人员进行宣贯，内容包括与本岗位相关的重大安全风险及管控措施；</w:t>
            </w:r>
          </w:p>
          <w:p>
            <w:pPr>
              <w:widowControl/>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2.专项辨识评估完成后1周内，对相关人员进行宣贯，内容包括与本岗位相关的安全风险及管控措施</w:t>
            </w:r>
          </w:p>
        </w:tc>
        <w:tc>
          <w:tcPr>
            <w:tcW w:w="4429" w:type="dxa"/>
            <w:tcBorders>
              <w:tl2br w:val="nil"/>
              <w:tr2bl w:val="nil"/>
            </w:tcBorders>
            <w:shd w:val="clear" w:color="auto" w:fill="auto"/>
            <w:vAlign w:val="center"/>
          </w:tcPr>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1.年度辨识评估完成后1个月内对入井（坑）人员进行安全风险管控培训，内容包括重大安全风险清单、与本岗位相关的重大安全风险管控措施，且不少于2学时；专项辨识评估完成后1周内对相关作业人员开展培训</w:t>
            </w:r>
          </w:p>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2.年度风险辨识评估前组织对矿长和分管负责人等参与安全风险辨识评估工作的人员开展1次安全风险辨识评估技术培训，且不少于4学时</w:t>
            </w:r>
          </w:p>
        </w:tc>
        <w:tc>
          <w:tcPr>
            <w:tcW w:w="3066" w:type="dxa"/>
            <w:tcBorders>
              <w:tl2br w:val="nil"/>
              <w:tr2bl w:val="nil"/>
            </w:tcBorders>
            <w:shd w:val="clear" w:color="auto" w:fill="auto"/>
            <w:vAlign w:val="center"/>
          </w:tcPr>
          <w:p>
            <w:pPr>
              <w:jc w:val="left"/>
              <w:rPr>
                <w:rFonts w:hint="eastAsia" w:ascii="宋体" w:hAnsi="宋体" w:eastAsia="宋体" w:cs="宋体"/>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268" w:hRule="atLeast"/>
          <w:jc w:val="center"/>
        </w:trPr>
        <w:tc>
          <w:tcPr>
            <w:tcW w:w="980"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42"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66" w:type="dxa"/>
            <w:tcBorders>
              <w:tl2br w:val="nil"/>
              <w:tr2bl w:val="nil"/>
            </w:tcBorders>
            <w:shd w:val="clear" w:color="auto" w:fill="auto"/>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信息管理</w:t>
            </w:r>
          </w:p>
        </w:tc>
        <w:tc>
          <w:tcPr>
            <w:tcW w:w="4291" w:type="dxa"/>
            <w:tcBorders>
              <w:tl2br w:val="nil"/>
              <w:tr2bl w:val="nil"/>
            </w:tcBorders>
            <w:shd w:val="clear" w:color="auto" w:fill="auto"/>
            <w:vAlign w:val="center"/>
          </w:tcPr>
          <w:p>
            <w:pPr>
              <w:widowControl/>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采用信息化管理手段，实现对安全风险记录、跟踪、统计、分析等全过程的信息化闭合管理</w:t>
            </w:r>
          </w:p>
        </w:tc>
        <w:tc>
          <w:tcPr>
            <w:tcW w:w="4429"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采用信息化管理手段，实现对安全风险记录、跟踪、统计、分析、上报等全过程的信息化管理</w:t>
            </w:r>
          </w:p>
        </w:tc>
        <w:tc>
          <w:tcPr>
            <w:tcW w:w="3066" w:type="dxa"/>
            <w:tcBorders>
              <w:tl2br w:val="nil"/>
              <w:tr2bl w:val="nil"/>
            </w:tcBorders>
            <w:shd w:val="clear" w:color="auto" w:fill="auto"/>
            <w:noWrap/>
            <w:vAlign w:val="center"/>
          </w:tcPr>
          <w:p>
            <w:pPr>
              <w:rPr>
                <w:rFonts w:hint="eastAsia" w:ascii="宋体" w:hAnsi="宋体" w:eastAsia="宋体" w:cs="宋体"/>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69" w:hRule="atLeast"/>
          <w:jc w:val="center"/>
        </w:trPr>
        <w:tc>
          <w:tcPr>
            <w:tcW w:w="980" w:type="dxa"/>
            <w:vMerge w:val="restart"/>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六、隐患排查治理（25分）</w:t>
            </w:r>
          </w:p>
        </w:tc>
        <w:tc>
          <w:tcPr>
            <w:tcW w:w="1108" w:type="dxa"/>
            <w:gridSpan w:val="2"/>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工作制度（2分）</w:t>
            </w:r>
          </w:p>
        </w:tc>
        <w:tc>
          <w:tcPr>
            <w:tcW w:w="4291"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建立隐患排查治理工作制度，明确矿长全面负责、分管负责人负责分管范围内隐患排查治理工作，副总工程师、科室、区（队）、班组、岗位人员的隐患排查治理职责；规定并落实事故隐患分级标准，以及事故隐患排查、登记、治理、验收、销号、分析总结等工作要求</w:t>
            </w:r>
          </w:p>
        </w:tc>
        <w:tc>
          <w:tcPr>
            <w:tcW w:w="4429" w:type="dxa"/>
            <w:tcBorders>
              <w:tl2br w:val="nil"/>
              <w:tr2bl w:val="nil"/>
            </w:tcBorders>
            <w:shd w:val="clear" w:color="auto" w:fill="auto"/>
            <w:vAlign w:val="center"/>
          </w:tcPr>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建立事故隐患排查治理工作责任体系，明确矿长全面负责、分管负责人负责分管范围内的事故隐患排查治理工作，各科室、区（队）、班组、岗位人员职责明确</w:t>
            </w:r>
          </w:p>
          <w:p>
            <w:pPr>
              <w:pStyle w:val="11"/>
              <w:rPr>
                <w:rFonts w:hint="eastAsia" w:ascii="宋体" w:hAnsi="宋体" w:eastAsia="宋体" w:cs="宋体"/>
                <w:sz w:val="21"/>
                <w:szCs w:val="21"/>
                <w:highlight w:val="none"/>
              </w:rPr>
            </w:pPr>
            <w:r>
              <w:rPr>
                <w:rFonts w:hint="eastAsia" w:ascii="宋体" w:hAnsi="宋体" w:eastAsia="宋体" w:cs="宋体"/>
                <w:color w:val="FF0000"/>
                <w:sz w:val="21"/>
                <w:szCs w:val="21"/>
                <w:highlight w:val="none"/>
              </w:rPr>
              <w:t>建立《煤矿重大安全风险管控方案》措施落实情况检查</w:t>
            </w:r>
            <w:r>
              <w:rPr>
                <w:rFonts w:hint="eastAsia" w:ascii="宋体" w:hAnsi="宋体" w:eastAsia="宋体" w:cs="宋体"/>
                <w:color w:val="000000" w:themeColor="text1"/>
                <w:sz w:val="21"/>
                <w:szCs w:val="21"/>
                <w:highlight w:val="none"/>
                <w14:textFill>
                  <w14:solidFill>
                    <w14:schemeClr w14:val="tx1"/>
                  </w14:solidFill>
                </w14:textFill>
              </w:rPr>
              <w:t>和事故隐患排查治理相关制度，</w:t>
            </w:r>
            <w:r>
              <w:rPr>
                <w:rFonts w:hint="eastAsia" w:ascii="宋体" w:hAnsi="宋体" w:eastAsia="宋体" w:cs="宋体"/>
                <w:color w:val="FF0000"/>
                <w:sz w:val="21"/>
                <w:szCs w:val="21"/>
                <w:highlight w:val="none"/>
              </w:rPr>
              <w:t>对重大安全风险管控措施落实及管控效果标准，</w:t>
            </w:r>
            <w:r>
              <w:rPr>
                <w:rFonts w:hint="eastAsia" w:ascii="宋体" w:hAnsi="宋体" w:eastAsia="宋体" w:cs="宋体"/>
                <w:sz w:val="21"/>
                <w:szCs w:val="21"/>
                <w:highlight w:val="none"/>
              </w:rPr>
              <w:t>事故隐患分级标准，以及事故隐患（含措施不落实情况）排查、登记、治理、督办、验收、销号、分析总结、检查考核工作作出规定并落实</w:t>
            </w:r>
          </w:p>
          <w:p>
            <w:pPr>
              <w:pStyle w:val="11"/>
              <w:rPr>
                <w:rFonts w:hint="eastAsia" w:ascii="宋体" w:hAnsi="宋体" w:eastAsia="宋体" w:cs="宋体"/>
                <w:sz w:val="21"/>
                <w:szCs w:val="21"/>
                <w:highlight w:val="none"/>
              </w:rPr>
            </w:pPr>
            <w:r>
              <w:rPr>
                <w:rFonts w:hint="eastAsia" w:ascii="宋体" w:hAnsi="宋体" w:eastAsia="宋体" w:cs="宋体"/>
                <w:sz w:val="21"/>
                <w:szCs w:val="21"/>
                <w:highlight w:val="none"/>
              </w:rPr>
              <w:t>对排查出的事故隐患进行分级，并按照事故隐患等级明确相应层级的单位（部门）、人员负责治理、督办、验收</w:t>
            </w:r>
          </w:p>
        </w:tc>
        <w:tc>
          <w:tcPr>
            <w:tcW w:w="3066" w:type="dxa"/>
            <w:tcBorders>
              <w:tl2br w:val="nil"/>
              <w:tr2bl w:val="nil"/>
            </w:tcBorders>
            <w:shd w:val="clear" w:color="auto" w:fill="auto"/>
            <w:vAlign w:val="center"/>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1.删除了与《煤矿重大安全风险管控方案》相关的要求。</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2.删除了事故隐患督办、检查考核工作制度要求。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897" w:hRule="atLeast"/>
          <w:jc w:val="center"/>
        </w:trPr>
        <w:tc>
          <w:tcPr>
            <w:tcW w:w="980"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42" w:type="dxa"/>
            <w:vMerge w:val="restart"/>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事故隐患排查（10分）</w:t>
            </w:r>
          </w:p>
        </w:tc>
        <w:tc>
          <w:tcPr>
            <w:tcW w:w="566" w:type="dxa"/>
            <w:vMerge w:val="restart"/>
            <w:tcBorders>
              <w:tl2br w:val="nil"/>
              <w:tr2bl w:val="nil"/>
            </w:tcBorders>
            <w:shd w:val="clear" w:color="auto" w:fill="auto"/>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周期范围</w:t>
            </w:r>
          </w:p>
        </w:tc>
        <w:tc>
          <w:tcPr>
            <w:tcW w:w="4291" w:type="dxa"/>
            <w:tcBorders>
              <w:tl2br w:val="nil"/>
              <w:tr2bl w:val="nil"/>
            </w:tcBorders>
            <w:shd w:val="clear" w:color="auto" w:fill="auto"/>
            <w:vAlign w:val="center"/>
          </w:tcPr>
          <w:p>
            <w:pPr>
              <w:widowControl/>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矿长每月组织分管负责人及相关科室、区（队）对重大安全风险管控措施落实情况、管控效果及覆盖生产各系统、各岗位的事故隐患至少开展1次排查；排查前制定工作方案，明确排查时间、方式、范围、内容和参加人员</w:t>
            </w:r>
          </w:p>
        </w:tc>
        <w:tc>
          <w:tcPr>
            <w:tcW w:w="4429"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矿长每月组织分管负责人及相关科室、区（队）对重大安全风险管控措施落实情况、管控效果及覆盖生产各系统、各岗位的事故隐患至少开展1次排查；排查前制定工作方案，明确排查时间、方式、范围、内容和参加人员</w:t>
            </w:r>
          </w:p>
        </w:tc>
        <w:tc>
          <w:tcPr>
            <w:tcW w:w="3066" w:type="dxa"/>
            <w:tcBorders>
              <w:tl2br w:val="nil"/>
              <w:tr2bl w:val="nil"/>
            </w:tcBorders>
            <w:shd w:val="clear" w:color="auto" w:fill="auto"/>
            <w:vAlign w:val="center"/>
          </w:tcPr>
          <w:p>
            <w:pPr>
              <w:rPr>
                <w:rFonts w:hint="eastAsia" w:ascii="宋体" w:hAnsi="宋体" w:eastAsia="宋体" w:cs="宋体"/>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582" w:hRule="atLeast"/>
          <w:jc w:val="center"/>
        </w:trPr>
        <w:tc>
          <w:tcPr>
            <w:tcW w:w="980"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42"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66"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4291" w:type="dxa"/>
            <w:tcBorders>
              <w:tl2br w:val="nil"/>
              <w:tr2bl w:val="nil"/>
            </w:tcBorders>
            <w:shd w:val="clear" w:color="auto" w:fill="auto"/>
            <w:vAlign w:val="center"/>
          </w:tcPr>
          <w:p>
            <w:pPr>
              <w:widowControl/>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矿分管负责人每半月组织相关人员对覆盖分管范围的重大安全风险管控措施落实情况、管控效果和事故隐患至少开展1次排查</w:t>
            </w:r>
          </w:p>
        </w:tc>
        <w:tc>
          <w:tcPr>
            <w:tcW w:w="4429" w:type="dxa"/>
            <w:tcBorders>
              <w:tl2br w:val="nil"/>
              <w:tr2bl w:val="nil"/>
            </w:tcBorders>
            <w:shd w:val="clear" w:color="auto" w:fill="auto"/>
            <w:vAlign w:val="center"/>
          </w:tcPr>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矿分管采掘、机电运输、通风、地测防治水、冲击地压防治等工作的负责人每半月组织相关人员对覆盖分管范围的重大安全风险管控措施落实情况、管控效果和事故隐患至少开展1次排查</w:t>
            </w:r>
          </w:p>
        </w:tc>
        <w:tc>
          <w:tcPr>
            <w:tcW w:w="3066" w:type="dxa"/>
            <w:tcBorders>
              <w:tl2br w:val="nil"/>
              <w:tr2bl w:val="nil"/>
            </w:tcBorders>
            <w:shd w:val="clear" w:color="auto" w:fill="auto"/>
            <w:vAlign w:val="center"/>
          </w:tcPr>
          <w:p>
            <w:pPr>
              <w:jc w:val="left"/>
              <w:rPr>
                <w:rFonts w:hint="eastAsia" w:ascii="宋体" w:hAnsi="宋体" w:eastAsia="宋体" w:cs="宋体"/>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jc w:val="center"/>
        </w:trPr>
        <w:tc>
          <w:tcPr>
            <w:tcW w:w="980"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42"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66"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4291" w:type="dxa"/>
            <w:tcBorders>
              <w:tl2br w:val="nil"/>
              <w:tr2bl w:val="nil"/>
            </w:tcBorders>
            <w:shd w:val="clear" w:color="auto" w:fill="auto"/>
            <w:vAlign w:val="center"/>
          </w:tcPr>
          <w:p>
            <w:pPr>
              <w:widowControl/>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生产期间，每天安排管理、技术和安检人员进行巡查，对作业区域开展事故隐患排查</w:t>
            </w:r>
          </w:p>
        </w:tc>
        <w:tc>
          <w:tcPr>
            <w:tcW w:w="4429"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生产期间，每天安排管理、技术和安检人员进行巡查，对作业区域开展事故隐患排查</w:t>
            </w:r>
          </w:p>
        </w:tc>
        <w:tc>
          <w:tcPr>
            <w:tcW w:w="3066" w:type="dxa"/>
            <w:tcBorders>
              <w:tl2br w:val="nil"/>
              <w:tr2bl w:val="nil"/>
            </w:tcBorders>
            <w:shd w:val="clear" w:color="auto" w:fill="auto"/>
            <w:vAlign w:val="center"/>
          </w:tcPr>
          <w:p>
            <w:pPr>
              <w:rPr>
                <w:rFonts w:hint="eastAsia" w:ascii="宋体" w:hAnsi="宋体" w:eastAsia="宋体" w:cs="宋体"/>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88" w:hRule="atLeast"/>
          <w:jc w:val="center"/>
        </w:trPr>
        <w:tc>
          <w:tcPr>
            <w:tcW w:w="980"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42"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66"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4291" w:type="dxa"/>
            <w:tcBorders>
              <w:tl2br w:val="nil"/>
              <w:tr2bl w:val="nil"/>
            </w:tcBorders>
            <w:shd w:val="clear" w:color="auto" w:fill="auto"/>
            <w:vAlign w:val="center"/>
          </w:tcPr>
          <w:p>
            <w:pPr>
              <w:widowControl/>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岗位作业人员作业过程中随时排查事故隐患</w:t>
            </w:r>
          </w:p>
        </w:tc>
        <w:tc>
          <w:tcPr>
            <w:tcW w:w="4429"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岗位作业人员作业过程中随时排查事故隐患</w:t>
            </w:r>
          </w:p>
        </w:tc>
        <w:tc>
          <w:tcPr>
            <w:tcW w:w="3066" w:type="dxa"/>
            <w:tcBorders>
              <w:tl2br w:val="nil"/>
              <w:tr2bl w:val="nil"/>
            </w:tcBorders>
            <w:shd w:val="clear" w:color="auto" w:fill="auto"/>
            <w:vAlign w:val="center"/>
          </w:tcPr>
          <w:p>
            <w:pPr>
              <w:rPr>
                <w:rFonts w:hint="eastAsia" w:ascii="宋体" w:hAnsi="宋体" w:eastAsia="宋体" w:cs="宋体"/>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582" w:hRule="atLeast"/>
          <w:jc w:val="center"/>
        </w:trPr>
        <w:tc>
          <w:tcPr>
            <w:tcW w:w="980"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42"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66" w:type="dxa"/>
            <w:tcBorders>
              <w:tl2br w:val="nil"/>
              <w:tr2bl w:val="nil"/>
            </w:tcBorders>
            <w:shd w:val="clear" w:color="auto" w:fill="auto"/>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登记上报</w:t>
            </w:r>
          </w:p>
        </w:tc>
        <w:tc>
          <w:tcPr>
            <w:tcW w:w="4291" w:type="dxa"/>
            <w:tcBorders>
              <w:tl2br w:val="nil"/>
              <w:tr2bl w:val="nil"/>
            </w:tcBorders>
            <w:shd w:val="clear" w:color="auto" w:fill="auto"/>
            <w:vAlign w:val="center"/>
          </w:tcPr>
          <w:p>
            <w:pPr>
              <w:widowControl/>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建立隐患排查治理台账，登记内部排查和外部检查的事故隐患；排查发现重大事故隐患后，及时向当地煤矿安全监管监察部门书面报告，并建立重大事故隐患信息档案</w:t>
            </w:r>
          </w:p>
        </w:tc>
        <w:tc>
          <w:tcPr>
            <w:tcW w:w="4429"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建立事故隐患排查台账，逐项登记内部排查和外部检查的事故隐患</w:t>
            </w:r>
          </w:p>
          <w:p>
            <w:pPr>
              <w:pStyle w:val="11"/>
              <w:rPr>
                <w:rFonts w:hint="eastAsia" w:ascii="宋体" w:hAnsi="宋体" w:eastAsia="宋体" w:cs="宋体"/>
                <w:sz w:val="21"/>
                <w:szCs w:val="21"/>
                <w:highlight w:val="none"/>
              </w:rPr>
            </w:pPr>
            <w:r>
              <w:rPr>
                <w:rFonts w:hint="eastAsia" w:ascii="宋体" w:hAnsi="宋体" w:eastAsia="宋体" w:cs="宋体"/>
                <w:sz w:val="21"/>
                <w:szCs w:val="21"/>
                <w:highlight w:val="none"/>
              </w:rPr>
              <w:t>2.排查发现重大事故隐患后，及时向当地煤矿安全监管监察部门书面报告，并建立重大事故隐患信息档案</w:t>
            </w:r>
          </w:p>
        </w:tc>
        <w:tc>
          <w:tcPr>
            <w:tcW w:w="3066" w:type="dxa"/>
            <w:tcBorders>
              <w:tl2br w:val="nil"/>
              <w:tr2bl w:val="nil"/>
            </w:tcBorders>
            <w:shd w:val="clear" w:color="auto" w:fill="auto"/>
            <w:vAlign w:val="center"/>
          </w:tcPr>
          <w:p>
            <w:pPr>
              <w:rPr>
                <w:rFonts w:hint="eastAsia" w:ascii="宋体" w:hAnsi="宋体" w:eastAsia="宋体" w:cs="宋体"/>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724" w:hRule="atLeast"/>
          <w:jc w:val="center"/>
        </w:trPr>
        <w:tc>
          <w:tcPr>
            <w:tcW w:w="980"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42" w:type="dxa"/>
            <w:vMerge w:val="restart"/>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事故隐患治理（8分）</w:t>
            </w:r>
          </w:p>
        </w:tc>
        <w:tc>
          <w:tcPr>
            <w:tcW w:w="566" w:type="dxa"/>
            <w:vMerge w:val="restart"/>
            <w:tcBorders>
              <w:tl2br w:val="nil"/>
              <w:tr2bl w:val="nil"/>
            </w:tcBorders>
            <w:shd w:val="clear" w:color="auto" w:fill="auto"/>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分级治理</w:t>
            </w:r>
          </w:p>
        </w:tc>
        <w:tc>
          <w:tcPr>
            <w:tcW w:w="4291" w:type="dxa"/>
            <w:tcBorders>
              <w:tl2br w:val="nil"/>
              <w:tr2bl w:val="nil"/>
            </w:tcBorders>
            <w:shd w:val="clear" w:color="auto" w:fill="auto"/>
            <w:vAlign w:val="center"/>
          </w:tcPr>
          <w:p>
            <w:pPr>
              <w:widowControl/>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对排查出的事故隐患进行分级，能立即治理完成的事故隐患，当班采取措施及时治理消除；</w:t>
            </w:r>
            <w:r>
              <w:rPr>
                <w:rFonts w:hint="eastAsia" w:ascii="宋体" w:hAnsi="宋体" w:eastAsia="宋体" w:cs="宋体"/>
                <w:color w:val="00B0F0"/>
                <w:sz w:val="21"/>
                <w:szCs w:val="21"/>
                <w:highlight w:val="none"/>
                <w:lang w:val="en-US" w:eastAsia="zh-CN"/>
              </w:rPr>
              <w:t>不能立即治理完成的事故隐患，采取临时管控措施，按照事故隐患等级明确相应层级的单位（部门）、人员负责治理、验收</w:t>
            </w:r>
          </w:p>
        </w:tc>
        <w:tc>
          <w:tcPr>
            <w:tcW w:w="4429" w:type="dxa"/>
            <w:tcBorders>
              <w:tl2br w:val="nil"/>
              <w:tr2bl w:val="nil"/>
            </w:tcBorders>
            <w:shd w:val="clear" w:color="auto" w:fill="auto"/>
            <w:vAlign w:val="center"/>
          </w:tcPr>
          <w:p>
            <w:pPr>
              <w:widowControl/>
              <w:numPr>
                <w:ilvl w:val="0"/>
                <w:numId w:val="0"/>
              </w:numP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SA"/>
              </w:rPr>
              <w:t>不能立即治理完成的事故隐患，明确治理责任单位（责任人）、治理措施、资金、时限，并组织实施</w:t>
            </w:r>
          </w:p>
        </w:tc>
        <w:tc>
          <w:tcPr>
            <w:tcW w:w="3066" w:type="dxa"/>
            <w:tcBorders>
              <w:tl2br w:val="nil"/>
              <w:tr2bl w:val="nil"/>
            </w:tcBorders>
            <w:shd w:val="clear" w:color="auto" w:fill="auto"/>
            <w:vAlign w:val="center"/>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不能立即治理完成的事故隐患去掉了治理措施、资金、时限，增加了验收。</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268" w:hRule="atLeast"/>
          <w:jc w:val="center"/>
        </w:trPr>
        <w:tc>
          <w:tcPr>
            <w:tcW w:w="980"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42"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66"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4291" w:type="dxa"/>
            <w:tcBorders>
              <w:tl2br w:val="nil"/>
              <w:tr2bl w:val="nil"/>
            </w:tcBorders>
            <w:shd w:val="clear" w:color="auto" w:fill="auto"/>
            <w:vAlign w:val="center"/>
          </w:tcPr>
          <w:p>
            <w:pPr>
              <w:widowControl/>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重大事故隐患由矿长按照责任、措施、资金、时限、预案“五落实”的原则，组织制定专项治理方案并组织实施；治理方案按规定及时上报</w:t>
            </w:r>
          </w:p>
        </w:tc>
        <w:tc>
          <w:tcPr>
            <w:tcW w:w="4429"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重大事故隐患由矿长按照责任、措施、资金、时限、预案“五落实”的原则，组织制定专项治理方案，并组织实施；治理方案按规定及时上报</w:t>
            </w:r>
            <w:r>
              <w:rPr>
                <w:rFonts w:hint="eastAsia" w:ascii="宋体" w:hAnsi="宋体" w:eastAsia="宋体" w:cs="宋体"/>
                <w:sz w:val="21"/>
                <w:szCs w:val="21"/>
                <w:highlight w:val="none"/>
                <w:lang w:eastAsia="zh-CN"/>
              </w:rPr>
              <w:t>。</w:t>
            </w:r>
          </w:p>
        </w:tc>
        <w:tc>
          <w:tcPr>
            <w:tcW w:w="3066" w:type="dxa"/>
            <w:tcBorders>
              <w:tl2br w:val="nil"/>
              <w:tr2bl w:val="nil"/>
            </w:tcBorders>
            <w:shd w:val="clear" w:color="auto" w:fill="auto"/>
            <w:vAlign w:val="center"/>
          </w:tcPr>
          <w:p>
            <w:pPr>
              <w:rPr>
                <w:rFonts w:hint="eastAsia" w:ascii="宋体" w:hAnsi="宋体" w:eastAsia="宋体" w:cs="宋体"/>
                <w:color w:val="auto"/>
                <w:sz w:val="21"/>
                <w:szCs w:val="21"/>
                <w:highlight w:val="none"/>
                <w:lang w:val="en-US" w:eastAsia="zh-CN"/>
              </w:rPr>
            </w:pPr>
            <w:r>
              <w:rPr>
                <w:rFonts w:hint="eastAsia" w:ascii="宋体" w:hAnsi="宋体" w:eastAsia="宋体" w:cs="宋体"/>
                <w:strike/>
                <w:dstrike w:val="0"/>
                <w:color w:val="auto"/>
                <w:sz w:val="21"/>
                <w:szCs w:val="21"/>
                <w:highlight w:val="none"/>
                <w:lang w:val="en-US" w:eastAsia="zh-CN"/>
              </w:rPr>
              <w:t>新增重大事故隐患相关规定</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582" w:hRule="atLeast"/>
          <w:jc w:val="center"/>
        </w:trPr>
        <w:tc>
          <w:tcPr>
            <w:tcW w:w="980"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42"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66" w:type="dxa"/>
            <w:tcBorders>
              <w:tl2br w:val="nil"/>
              <w:tr2bl w:val="nil"/>
            </w:tcBorders>
            <w:shd w:val="clear" w:color="auto" w:fill="auto"/>
            <w:vAlign w:val="center"/>
          </w:tcPr>
          <w:p>
            <w:pPr>
              <w:widowControl/>
              <w:ind w:left="0" w:right="0"/>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安全措施</w:t>
            </w:r>
          </w:p>
        </w:tc>
        <w:tc>
          <w:tcPr>
            <w:tcW w:w="4291" w:type="dxa"/>
            <w:tcBorders>
              <w:tl2br w:val="nil"/>
              <w:tr2bl w:val="nil"/>
            </w:tcBorders>
            <w:shd w:val="clear" w:color="auto" w:fill="auto"/>
            <w:vAlign w:val="center"/>
          </w:tcPr>
          <w:p>
            <w:pPr>
              <w:widowControl/>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对治理过程危险性较大、可能危及治理人员及接近治理区人员安全的事故隐患（如爆炸、人员坠落、坠物、冒顶、电击、机械伤人等），应制定并落实安全技术措施，现场设置警示标识</w:t>
            </w:r>
          </w:p>
        </w:tc>
        <w:tc>
          <w:tcPr>
            <w:tcW w:w="4429" w:type="dxa"/>
            <w:tcBorders>
              <w:tl2br w:val="nil"/>
              <w:tr2bl w:val="nil"/>
            </w:tcBorders>
            <w:shd w:val="clear" w:color="auto" w:fill="auto"/>
            <w:vAlign w:val="center"/>
          </w:tcPr>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对治理过程危险性较大的事故隐患（指可能危及治理人员及接近治理区人员安全，如爆炸、人员坠落、坠物、冒顶、电击、机械伤人等），应制定现场处置方案，治理过程中</w:t>
            </w:r>
            <w:r>
              <w:rPr>
                <w:rFonts w:hint="eastAsia" w:ascii="宋体" w:hAnsi="宋体" w:eastAsia="宋体" w:cs="宋体"/>
                <w:color w:val="FF0000"/>
                <w:sz w:val="21"/>
                <w:szCs w:val="21"/>
                <w:highlight w:val="none"/>
              </w:rPr>
              <w:t>现场有专人指挥</w:t>
            </w:r>
            <w:r>
              <w:rPr>
                <w:rFonts w:hint="eastAsia" w:ascii="宋体" w:hAnsi="宋体" w:eastAsia="宋体" w:cs="宋体"/>
                <w:sz w:val="21"/>
                <w:szCs w:val="21"/>
                <w:highlight w:val="none"/>
              </w:rPr>
              <w:t>，并设置警示标识；</w:t>
            </w:r>
            <w:r>
              <w:rPr>
                <w:rFonts w:hint="eastAsia" w:ascii="宋体" w:hAnsi="宋体" w:eastAsia="宋体" w:cs="宋体"/>
                <w:color w:val="FF0000"/>
                <w:sz w:val="21"/>
                <w:szCs w:val="21"/>
                <w:highlight w:val="none"/>
              </w:rPr>
              <w:t>安检员现场监督</w:t>
            </w:r>
          </w:p>
        </w:tc>
        <w:tc>
          <w:tcPr>
            <w:tcW w:w="3066" w:type="dxa"/>
            <w:tcBorders>
              <w:tl2br w:val="nil"/>
              <w:tr2bl w:val="nil"/>
            </w:tcBorders>
            <w:shd w:val="clear" w:color="auto" w:fill="auto"/>
            <w:vAlign w:val="center"/>
          </w:tcPr>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删除了制定现场处置方案、现场专人指挥、安检员现场监督的要求，增加了制定并落实安全技术措施。</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897" w:hRule="atLeast"/>
          <w:jc w:val="center"/>
        </w:trPr>
        <w:tc>
          <w:tcPr>
            <w:tcW w:w="980"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42"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66" w:type="dxa"/>
            <w:tcBorders>
              <w:tl2br w:val="nil"/>
              <w:tr2bl w:val="nil"/>
            </w:tcBorders>
            <w:shd w:val="clear" w:color="auto" w:fill="auto"/>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验收销号</w:t>
            </w:r>
          </w:p>
        </w:tc>
        <w:tc>
          <w:tcPr>
            <w:tcW w:w="4291" w:type="dxa"/>
            <w:tcBorders>
              <w:tl2br w:val="nil"/>
              <w:tr2bl w:val="nil"/>
            </w:tcBorders>
            <w:shd w:val="clear" w:color="auto" w:fill="auto"/>
            <w:vAlign w:val="center"/>
          </w:tcPr>
          <w:p>
            <w:pPr>
              <w:widowControl/>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煤矿自行排查发现的事故隐患完成治理后，由验收责任单位（部门）或人员负责验收，合格后予以销号；煤矿安全监管监察机构和</w:t>
            </w:r>
            <w:r>
              <w:rPr>
                <w:rFonts w:hint="eastAsia" w:ascii="宋体" w:hAnsi="宋体" w:eastAsia="宋体" w:cs="宋体"/>
                <w:color w:val="00B0F0"/>
                <w:kern w:val="0"/>
                <w:sz w:val="21"/>
                <w:szCs w:val="21"/>
                <w:highlight w:val="none"/>
              </w:rPr>
              <w:t>上级公司检查</w:t>
            </w:r>
            <w:r>
              <w:rPr>
                <w:rFonts w:hint="eastAsia" w:ascii="宋体" w:hAnsi="宋体" w:eastAsia="宋体" w:cs="宋体"/>
                <w:kern w:val="0"/>
                <w:sz w:val="21"/>
                <w:szCs w:val="21"/>
                <w:highlight w:val="none"/>
              </w:rPr>
              <w:t>发现的事故隐患，完成治理后，按要求报告发现部门或其委托部门（单位）</w:t>
            </w:r>
          </w:p>
        </w:tc>
        <w:tc>
          <w:tcPr>
            <w:tcW w:w="4429"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1．煤矿自行排查发现的事故隐患完成治理后，由验收责任单位（部门）或人员负责验收，验收合格后予以销号</w:t>
            </w:r>
          </w:p>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2．负有煤矿安全监管职责的部门和煤矿安全监察机构检查发现的事故隐患，完成治理后，</w:t>
            </w:r>
            <w:r>
              <w:rPr>
                <w:rFonts w:hint="eastAsia" w:ascii="宋体" w:hAnsi="宋体" w:eastAsia="宋体" w:cs="宋体"/>
                <w:color w:val="FF0000"/>
                <w:sz w:val="21"/>
                <w:szCs w:val="21"/>
                <w:highlight w:val="none"/>
              </w:rPr>
              <w:t>书面报告</w:t>
            </w:r>
            <w:r>
              <w:rPr>
                <w:rFonts w:hint="eastAsia" w:ascii="宋体" w:hAnsi="宋体" w:eastAsia="宋体" w:cs="宋体"/>
                <w:sz w:val="21"/>
                <w:szCs w:val="21"/>
                <w:highlight w:val="none"/>
              </w:rPr>
              <w:t>发现部门或其委托部门（单位）</w:t>
            </w:r>
          </w:p>
        </w:tc>
        <w:tc>
          <w:tcPr>
            <w:tcW w:w="3066" w:type="dxa"/>
            <w:tcBorders>
              <w:tl2br w:val="nil"/>
              <w:tr2bl w:val="nil"/>
            </w:tcBorders>
            <w:shd w:val="clear" w:color="auto" w:fill="auto"/>
            <w:vAlign w:val="center"/>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明确要求上级公司检查出的事故隐患，要报告公司，未明确要求书面报告</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268" w:hRule="atLeast"/>
          <w:jc w:val="center"/>
        </w:trPr>
        <w:tc>
          <w:tcPr>
            <w:tcW w:w="980"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42" w:type="dxa"/>
            <w:vMerge w:val="restart"/>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保障措施（5分）</w:t>
            </w:r>
          </w:p>
        </w:tc>
        <w:tc>
          <w:tcPr>
            <w:tcW w:w="566" w:type="dxa"/>
            <w:tcBorders>
              <w:tl2br w:val="nil"/>
              <w:tr2bl w:val="nil"/>
            </w:tcBorders>
            <w:shd w:val="clear" w:color="auto" w:fill="auto"/>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信息管理</w:t>
            </w:r>
          </w:p>
        </w:tc>
        <w:tc>
          <w:tcPr>
            <w:tcW w:w="4291" w:type="dxa"/>
            <w:tcBorders>
              <w:tl2br w:val="nil"/>
              <w:tr2bl w:val="nil"/>
            </w:tcBorders>
            <w:shd w:val="clear" w:color="auto" w:fill="auto"/>
            <w:vAlign w:val="center"/>
          </w:tcPr>
          <w:p>
            <w:pPr>
              <w:widowControl/>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采用信息化管理手段，实现对事故隐患登记录入、过程跟踪、逾期报警、验收销号、信息上报等信息化闭合管理</w:t>
            </w:r>
          </w:p>
        </w:tc>
        <w:tc>
          <w:tcPr>
            <w:tcW w:w="4429"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采用信息化管理手段，实现对事故隐患排查治理记录统计、过程跟踪、逾期报警、信息上报的信息化管理</w:t>
            </w:r>
          </w:p>
        </w:tc>
        <w:tc>
          <w:tcPr>
            <w:tcW w:w="3066" w:type="dxa"/>
            <w:tcBorders>
              <w:tl2br w:val="nil"/>
              <w:tr2bl w:val="nil"/>
            </w:tcBorders>
            <w:shd w:val="clear" w:color="auto" w:fill="auto"/>
            <w:vAlign w:val="center"/>
          </w:tcPr>
          <w:p>
            <w:pPr>
              <w:rPr>
                <w:rFonts w:hint="eastAsia" w:ascii="宋体" w:hAnsi="宋体" w:eastAsia="宋体" w:cs="宋体"/>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582" w:hRule="atLeast"/>
          <w:jc w:val="center"/>
        </w:trPr>
        <w:tc>
          <w:tcPr>
            <w:tcW w:w="980"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42"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66" w:type="dxa"/>
            <w:tcBorders>
              <w:tl2br w:val="nil"/>
              <w:tr2bl w:val="nil"/>
            </w:tcBorders>
            <w:shd w:val="clear" w:color="auto" w:fill="auto"/>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公示公告</w:t>
            </w:r>
          </w:p>
        </w:tc>
        <w:tc>
          <w:tcPr>
            <w:tcW w:w="4291"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井工煤矿在行人井口和存在重大事故隐患的区域，露天煤矿在显著位置公示重大事故隐患的地点、主要内容、治理时限、责任人</w:t>
            </w:r>
          </w:p>
        </w:tc>
        <w:tc>
          <w:tcPr>
            <w:tcW w:w="4429" w:type="dxa"/>
            <w:tcBorders>
              <w:tl2br w:val="nil"/>
              <w:tr2bl w:val="nil"/>
            </w:tcBorders>
            <w:shd w:val="clear" w:color="auto" w:fill="auto"/>
            <w:vAlign w:val="center"/>
          </w:tcPr>
          <w:p>
            <w:pPr>
              <w:widowControl/>
              <w:textAlignment w:val="center"/>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rPr>
              <w:t>1．每月向从业人员通报事故隐患分布、治理进展情况；</w:t>
            </w:r>
          </w:p>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2．及时在行人井口（露天煤矿交接班室）或其他显著位置公示重大事故隐患的地点、主要内容、治理时限、责任人、停产停工范围；</w:t>
            </w:r>
          </w:p>
        </w:tc>
        <w:tc>
          <w:tcPr>
            <w:tcW w:w="3066" w:type="dxa"/>
            <w:tcBorders>
              <w:tl2br w:val="nil"/>
              <w:tr2bl w:val="nil"/>
            </w:tcBorders>
            <w:shd w:val="clear" w:color="auto" w:fill="auto"/>
            <w:vAlign w:val="center"/>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1.删除了向从业人员公示隐患的要求。</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2.公示的内容去掉了停产停工范围。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268" w:hRule="atLeast"/>
          <w:jc w:val="center"/>
        </w:trPr>
        <w:tc>
          <w:tcPr>
            <w:tcW w:w="980"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42"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66" w:type="dxa"/>
            <w:tcBorders>
              <w:tl2br w:val="nil"/>
              <w:tr2bl w:val="nil"/>
            </w:tcBorders>
            <w:shd w:val="clear" w:color="auto" w:fill="auto"/>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举报监督</w:t>
            </w:r>
          </w:p>
        </w:tc>
        <w:tc>
          <w:tcPr>
            <w:tcW w:w="4291"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公布事故隐患举报联系方式，接受从业人员和社会监督</w:t>
            </w:r>
          </w:p>
        </w:tc>
        <w:tc>
          <w:tcPr>
            <w:tcW w:w="4429"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3．建立事故隐患举报奖励制度，公布事故隐患举报联系方式，接受从业人员和社会监督</w:t>
            </w:r>
          </w:p>
        </w:tc>
        <w:tc>
          <w:tcPr>
            <w:tcW w:w="3066" w:type="dxa"/>
            <w:tcBorders>
              <w:tl2br w:val="nil"/>
              <w:tr2bl w:val="nil"/>
            </w:tcBorders>
            <w:shd w:val="clear" w:color="auto" w:fill="auto"/>
            <w:vAlign w:val="center"/>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去掉了</w:t>
            </w:r>
            <w:r>
              <w:rPr>
                <w:rFonts w:hint="eastAsia" w:ascii="宋体" w:hAnsi="宋体" w:eastAsia="宋体" w:cs="宋体"/>
                <w:color w:val="auto"/>
                <w:sz w:val="21"/>
                <w:szCs w:val="21"/>
                <w:highlight w:val="none"/>
              </w:rPr>
              <w:t>建立事故隐患举报奖励制度</w:t>
            </w:r>
            <w:r>
              <w:rPr>
                <w:rFonts w:hint="eastAsia" w:ascii="宋体" w:hAnsi="宋体" w:eastAsia="宋体" w:cs="宋体"/>
                <w:color w:val="auto"/>
                <w:sz w:val="21"/>
                <w:szCs w:val="21"/>
                <w:highlight w:val="none"/>
                <w:lang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410" w:hRule="atLeast"/>
          <w:jc w:val="center"/>
        </w:trPr>
        <w:tc>
          <w:tcPr>
            <w:tcW w:w="980"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42"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566" w:type="dxa"/>
            <w:tcBorders>
              <w:tl2br w:val="nil"/>
              <w:tr2bl w:val="nil"/>
            </w:tcBorders>
            <w:shd w:val="clear" w:color="auto" w:fill="auto"/>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总结分析</w:t>
            </w:r>
          </w:p>
        </w:tc>
        <w:tc>
          <w:tcPr>
            <w:tcW w:w="4291" w:type="dxa"/>
            <w:tcBorders>
              <w:tl2br w:val="nil"/>
              <w:tr2bl w:val="nil"/>
            </w:tcBorders>
            <w:shd w:val="clear" w:color="auto" w:fill="auto"/>
            <w:vAlign w:val="center"/>
          </w:tcPr>
          <w:p>
            <w:pPr>
              <w:widowControl/>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矿长每月组织召开事故隐患治理会议，对事故隐患的治理情况进行通报，分析重大安全风险管控情况、归纳事故隐患产生的原因，布置月度安全风险管控重点，提出预防事故隐患的改进措施，并形成月度统计分析报告</w:t>
            </w:r>
          </w:p>
        </w:tc>
        <w:tc>
          <w:tcPr>
            <w:tcW w:w="4429" w:type="dxa"/>
            <w:tcBorders>
              <w:tl2br w:val="nil"/>
              <w:tr2bl w:val="nil"/>
            </w:tcBorders>
            <w:shd w:val="clear" w:color="auto" w:fill="auto"/>
            <w:vAlign w:val="center"/>
          </w:tcPr>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矿长每月组织召开事故隐患治理会议，对事故隐患的治理情况进行通报，分析重大安全风险管控情况、事故隐患产生的原因，编制月度统计分析报告，布置月度安全风险管控重点，提出预防事故隐患的措施</w:t>
            </w:r>
          </w:p>
        </w:tc>
        <w:tc>
          <w:tcPr>
            <w:tcW w:w="3066" w:type="dxa"/>
            <w:tcBorders>
              <w:tl2br w:val="nil"/>
              <w:tr2bl w:val="nil"/>
            </w:tcBorders>
            <w:shd w:val="clear" w:color="auto" w:fill="auto"/>
            <w:noWrap/>
            <w:vAlign w:val="center"/>
          </w:tcPr>
          <w:p>
            <w:pPr>
              <w:rPr>
                <w:rFonts w:hint="eastAsia" w:ascii="宋体" w:hAnsi="宋体" w:eastAsia="宋体" w:cs="宋体"/>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840" w:hRule="atLeast"/>
          <w:jc w:val="center"/>
        </w:trPr>
        <w:tc>
          <w:tcPr>
            <w:tcW w:w="980" w:type="dxa"/>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kern w:val="0"/>
                <w:sz w:val="21"/>
                <w:szCs w:val="21"/>
                <w:highlight w:val="none"/>
              </w:rPr>
            </w:pPr>
          </w:p>
        </w:tc>
        <w:tc>
          <w:tcPr>
            <w:tcW w:w="1108" w:type="dxa"/>
            <w:gridSpan w:val="2"/>
            <w:tcBorders>
              <w:tl2br w:val="nil"/>
              <w:tr2bl w:val="nil"/>
            </w:tcBorders>
            <w:shd w:val="clear" w:color="auto" w:fill="auto"/>
            <w:vAlign w:val="center"/>
          </w:tcPr>
          <w:p>
            <w:pPr>
              <w:widowControl/>
              <w:jc w:val="center"/>
              <w:textAlignment w:val="center"/>
              <w:rPr>
                <w:rFonts w:hint="eastAsia" w:ascii="宋体" w:hAnsi="宋体" w:eastAsia="宋体" w:cs="宋体"/>
                <w:kern w:val="0"/>
                <w:sz w:val="21"/>
                <w:szCs w:val="21"/>
                <w:highlight w:val="none"/>
              </w:rPr>
            </w:pPr>
            <w:r>
              <w:rPr>
                <w:rFonts w:hint="eastAsia" w:ascii="宋体" w:hAnsi="宋体" w:eastAsia="宋体" w:cs="宋体"/>
                <w:color w:val="FF0000"/>
                <w:kern w:val="0"/>
                <w:sz w:val="21"/>
                <w:szCs w:val="21"/>
                <w:highlight w:val="none"/>
              </w:rPr>
              <w:t>教育培训</w:t>
            </w:r>
          </w:p>
        </w:tc>
        <w:tc>
          <w:tcPr>
            <w:tcW w:w="4291" w:type="dxa"/>
            <w:tcBorders>
              <w:tl2br w:val="nil"/>
              <w:tr2bl w:val="nil"/>
            </w:tcBorders>
            <w:shd w:val="clear" w:color="auto" w:fill="auto"/>
            <w:vAlign w:val="center"/>
          </w:tcPr>
          <w:p>
            <w:pPr>
              <w:widowControl/>
              <w:textAlignment w:val="center"/>
              <w:rPr>
                <w:rFonts w:hint="eastAsia" w:ascii="宋体" w:hAnsi="宋体" w:eastAsia="宋体" w:cs="宋体"/>
                <w:kern w:val="0"/>
                <w:sz w:val="21"/>
                <w:szCs w:val="21"/>
                <w:highlight w:val="none"/>
              </w:rPr>
            </w:pPr>
          </w:p>
        </w:tc>
        <w:tc>
          <w:tcPr>
            <w:tcW w:w="4429"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1.每年至少组织矿长、分管负责人、副总工程师及安全、采掘、机电运输、通风、地测防治水、冲击地压等科室相关人员和区（队）管理人员进行1次事故隐患排查治理专项培训，且不少于4学时</w:t>
            </w:r>
          </w:p>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2.每年至少对入井（坑）岗位人员进行1次事故隐患排查治理基本技能培训，包括事故隐患排查方法、治理流程和要求、所在区（队）作业区域常见事故隐患的识别，且不少于2学时</w:t>
            </w:r>
          </w:p>
        </w:tc>
        <w:tc>
          <w:tcPr>
            <w:tcW w:w="3066" w:type="dxa"/>
            <w:tcBorders>
              <w:tl2br w:val="nil"/>
              <w:tr2bl w:val="nil"/>
            </w:tcBorders>
            <w:shd w:val="clear" w:color="auto" w:fill="auto"/>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删除</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897" w:hRule="atLeast"/>
          <w:jc w:val="center"/>
        </w:trPr>
        <w:tc>
          <w:tcPr>
            <w:tcW w:w="980" w:type="dxa"/>
            <w:vMerge w:val="restart"/>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七、持续改进（5分）</w:t>
            </w:r>
          </w:p>
        </w:tc>
        <w:tc>
          <w:tcPr>
            <w:tcW w:w="1108" w:type="dxa"/>
            <w:gridSpan w:val="2"/>
            <w:tcBorders>
              <w:tl2br w:val="nil"/>
              <w:tr2bl w:val="nil"/>
            </w:tcBorders>
            <w:shd w:val="clear" w:color="auto" w:fill="auto"/>
            <w:vAlign w:val="center"/>
          </w:tcPr>
          <w:p>
            <w:pPr>
              <w:widowControl/>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自查</w:t>
            </w:r>
          </w:p>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自评</w:t>
            </w:r>
          </w:p>
        </w:tc>
        <w:tc>
          <w:tcPr>
            <w:tcW w:w="4291"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每季度至少组织开展一次全面的自查自评，对内部和外部检查的问题进行总结分析，提出改进措施并落实</w:t>
            </w:r>
          </w:p>
        </w:tc>
        <w:tc>
          <w:tcPr>
            <w:tcW w:w="4429"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每季度对内部自查自评和外部检查考核的结果进行总结，归纳分析问题或隐患产生的根源，制定改进措施并落实</w:t>
            </w:r>
          </w:p>
          <w:p>
            <w:pPr>
              <w:pStyle w:val="11"/>
              <w:rPr>
                <w:rFonts w:hint="eastAsia" w:ascii="宋体" w:hAnsi="宋体" w:eastAsia="宋体" w:cs="宋体"/>
                <w:sz w:val="21"/>
                <w:szCs w:val="21"/>
                <w:highlight w:val="none"/>
              </w:rPr>
            </w:pPr>
            <w:r>
              <w:rPr>
                <w:rFonts w:hint="eastAsia" w:ascii="宋体" w:hAnsi="宋体" w:eastAsia="宋体" w:cs="宋体"/>
                <w:sz w:val="21"/>
                <w:szCs w:val="21"/>
                <w:highlight w:val="none"/>
              </w:rPr>
              <w:t>每季度根据标准化管理体系内部自查自评和外部检查考核结果，分解落实责任，纳入有关部门、人员绩效考核</w:t>
            </w:r>
          </w:p>
        </w:tc>
        <w:tc>
          <w:tcPr>
            <w:tcW w:w="3066" w:type="dxa"/>
            <w:tcBorders>
              <w:tl2br w:val="nil"/>
              <w:tr2bl w:val="nil"/>
            </w:tcBorders>
            <w:shd w:val="clear" w:color="auto" w:fill="auto"/>
            <w:vAlign w:val="center"/>
          </w:tcPr>
          <w:p>
            <w:pPr>
              <w:jc w:val="center"/>
              <w:rPr>
                <w:rFonts w:hint="eastAsia" w:ascii="宋体" w:hAnsi="宋体" w:eastAsia="宋体" w:cs="宋体"/>
                <w:color w:val="auto"/>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4099" w:hRule="atLeast"/>
          <w:jc w:val="center"/>
        </w:trPr>
        <w:tc>
          <w:tcPr>
            <w:tcW w:w="980" w:type="dxa"/>
            <w:vMerge w:val="continue"/>
            <w:tcBorders>
              <w:tl2br w:val="nil"/>
              <w:tr2bl w:val="nil"/>
            </w:tcBorders>
            <w:shd w:val="clear" w:color="auto" w:fill="auto"/>
            <w:vAlign w:val="center"/>
          </w:tcPr>
          <w:p>
            <w:pPr>
              <w:jc w:val="center"/>
              <w:rPr>
                <w:rFonts w:hint="eastAsia" w:ascii="宋体" w:hAnsi="宋体" w:eastAsia="宋体" w:cs="宋体"/>
                <w:sz w:val="21"/>
                <w:szCs w:val="21"/>
                <w:highlight w:val="none"/>
              </w:rPr>
            </w:pPr>
          </w:p>
        </w:tc>
        <w:tc>
          <w:tcPr>
            <w:tcW w:w="1108" w:type="dxa"/>
            <w:gridSpan w:val="2"/>
            <w:tcBorders>
              <w:tl2br w:val="nil"/>
              <w:tr2bl w:val="nil"/>
            </w:tcBorders>
            <w:shd w:val="clear" w:color="auto" w:fill="auto"/>
            <w:vAlign w:val="center"/>
          </w:tcPr>
          <w:p>
            <w:pPr>
              <w:widowControl/>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改进</w:t>
            </w:r>
          </w:p>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提升</w:t>
            </w:r>
          </w:p>
        </w:tc>
        <w:tc>
          <w:tcPr>
            <w:tcW w:w="4291"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根据安全目标完成情况、安全生产责任制落实情况、标准化内部自查和外部检查考核情况、年度风险辨识结果及重大风险管控情况、年度重大事故隐患排查整改情况、本矿生产安全事故情况，</w:t>
            </w:r>
            <w:r>
              <w:rPr>
                <w:rFonts w:hint="eastAsia" w:ascii="宋体" w:hAnsi="宋体" w:eastAsia="宋体" w:cs="宋体"/>
                <w:color w:val="00B0F0"/>
                <w:kern w:val="0"/>
                <w:sz w:val="21"/>
                <w:szCs w:val="21"/>
                <w:highlight w:val="none"/>
              </w:rPr>
              <w:t>每年底由矿长组织对标准化管理体系的运行质量进行分析，</w:t>
            </w:r>
            <w:r>
              <w:rPr>
                <w:rFonts w:hint="eastAsia" w:ascii="宋体" w:hAnsi="宋体" w:eastAsia="宋体" w:cs="宋体"/>
                <w:kern w:val="0"/>
                <w:sz w:val="21"/>
                <w:szCs w:val="21"/>
                <w:highlight w:val="none"/>
              </w:rPr>
              <w:t>形成分析报告，对报告提出的改进措施，明确责任人及完成时限</w:t>
            </w:r>
          </w:p>
        </w:tc>
        <w:tc>
          <w:tcPr>
            <w:tcW w:w="4429" w:type="dxa"/>
            <w:tcBorders>
              <w:tl2br w:val="nil"/>
              <w:tr2bl w:val="nil"/>
            </w:tcBorders>
            <w:shd w:val="clear" w:color="auto" w:fill="auto"/>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1.每年底由煤矿矿长组织对标准化管理体系的运行质量进行客观分析，衡量规章制度、规程措施的有效性，形成体系运行分析报告。分析工作的依据应包含但不限于以下方面：</w:t>
            </w:r>
          </w:p>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（1）安全生产目标考核结果；</w:t>
            </w:r>
          </w:p>
          <w:p>
            <w:pPr>
              <w:widowControl/>
              <w:textAlignment w:val="center"/>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rPr>
              <w:t>（2）安全承诺考核结果；</w:t>
            </w:r>
          </w:p>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（3）安全生产责任制考核结果；</w:t>
            </w:r>
          </w:p>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（4）标准化内部自查和外部检查考核情况；</w:t>
            </w:r>
          </w:p>
          <w:p>
            <w:pPr>
              <w:widowControl/>
              <w:textAlignment w:val="center"/>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rPr>
              <w:t>（5）国家政策、法规、标准变化调整情况；</w:t>
            </w:r>
          </w:p>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（6）年度风险辨识结果及全年重大风险管控情况； </w:t>
            </w:r>
          </w:p>
          <w:p>
            <w:pPr>
              <w:widowControl/>
              <w:textAlignment w:val="center"/>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rPr>
              <w:t>（7）职工诉求；</w:t>
            </w:r>
          </w:p>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（8）本矿生产安全事故情况</w:t>
            </w:r>
          </w:p>
        </w:tc>
        <w:tc>
          <w:tcPr>
            <w:tcW w:w="3066" w:type="dxa"/>
            <w:tcBorders>
              <w:tl2br w:val="nil"/>
              <w:tr2bl w:val="nil"/>
            </w:tcBorders>
            <w:shd w:val="clear" w:color="auto" w:fill="auto"/>
            <w:noWrap/>
            <w:vAlign w:val="center"/>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删除了三项内容，新增了标准化管理体系运行质量分析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347" w:hRule="atLeast"/>
          <w:jc w:val="center"/>
        </w:trPr>
        <w:tc>
          <w:tcPr>
            <w:tcW w:w="980" w:type="dxa"/>
            <w:tcBorders>
              <w:tl2br w:val="nil"/>
              <w:tr2bl w:val="nil"/>
            </w:tcBorders>
            <w:shd w:val="clear" w:color="auto" w:fill="auto"/>
            <w:textDirection w:val="tbRlV"/>
            <w:vAlign w:val="center"/>
          </w:tcPr>
          <w:p>
            <w:pPr>
              <w:ind w:left="113" w:right="11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附加项</w:t>
            </w:r>
          </w:p>
          <w:p>
            <w:pPr>
              <w:ind w:left="113" w:right="11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（2分）</w:t>
            </w:r>
          </w:p>
        </w:tc>
        <w:tc>
          <w:tcPr>
            <w:tcW w:w="1108" w:type="dxa"/>
            <w:gridSpan w:val="2"/>
            <w:tcBorders>
              <w:tl2br w:val="nil"/>
              <w:tr2bl w:val="nil"/>
            </w:tcBorders>
            <w:shd w:val="clear" w:color="auto" w:fill="auto"/>
            <w:vAlign w:val="center"/>
          </w:tcPr>
          <w:p>
            <w:pPr>
              <w:widowControl/>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技能人才和机构设置</w:t>
            </w:r>
          </w:p>
        </w:tc>
        <w:tc>
          <w:tcPr>
            <w:tcW w:w="4291" w:type="dxa"/>
            <w:tcBorders>
              <w:tl2br w:val="nil"/>
              <w:tr2bl w:val="nil"/>
            </w:tcBorders>
            <w:shd w:val="clear" w:color="auto" w:fill="auto"/>
            <w:vAlign w:val="center"/>
          </w:tcPr>
          <w:p>
            <w:pPr>
              <w:widowControl/>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1.考核期内，从业人员获得省部级及以上技能大师称号；</w:t>
            </w:r>
          </w:p>
          <w:p>
            <w:pPr>
              <w:widowControl/>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2.设置专门的安全生产标准化管理机构</w:t>
            </w:r>
          </w:p>
        </w:tc>
        <w:tc>
          <w:tcPr>
            <w:tcW w:w="4429" w:type="dxa"/>
            <w:tcBorders>
              <w:tl2br w:val="nil"/>
              <w:tr2bl w:val="nil"/>
            </w:tcBorders>
            <w:shd w:val="clear" w:color="auto" w:fill="auto"/>
            <w:vAlign w:val="center"/>
          </w:tcPr>
          <w:p>
            <w:pPr>
              <w:widowControl/>
              <w:textAlignment w:val="center"/>
              <w:rPr>
                <w:rFonts w:hint="eastAsia" w:ascii="宋体" w:hAnsi="宋体" w:eastAsia="宋体" w:cs="宋体"/>
                <w:kern w:val="0"/>
                <w:sz w:val="21"/>
                <w:szCs w:val="21"/>
                <w:highlight w:val="none"/>
              </w:rPr>
            </w:pPr>
          </w:p>
        </w:tc>
        <w:tc>
          <w:tcPr>
            <w:tcW w:w="3066" w:type="dxa"/>
            <w:tcBorders>
              <w:tl2br w:val="nil"/>
              <w:tr2bl w:val="nil"/>
            </w:tcBorders>
            <w:shd w:val="clear" w:color="auto" w:fill="auto"/>
            <w:noWrap/>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新增</w:t>
            </w:r>
          </w:p>
        </w:tc>
      </w:tr>
    </w:tbl>
    <w:p>
      <w:pPr>
        <w:rPr>
          <w:rFonts w:hint="eastAsia" w:ascii="宋体" w:hAnsi="宋体" w:eastAsia="宋体" w:cs="宋体"/>
          <w:b/>
          <w:bCs/>
          <w:sz w:val="32"/>
          <w:szCs w:val="32"/>
          <w:highlight w:val="none"/>
          <w:lang w:val="en-US" w:eastAsia="zh-CN" w:bidi="ar-SA"/>
        </w:rPr>
      </w:pPr>
      <w:r>
        <w:rPr>
          <w:rFonts w:hint="eastAsia" w:ascii="宋体" w:hAnsi="宋体" w:eastAsia="宋体" w:cs="宋体"/>
          <w:b/>
          <w:bCs/>
          <w:sz w:val="32"/>
          <w:szCs w:val="32"/>
          <w:highlight w:val="none"/>
          <w:lang w:val="en-US" w:eastAsia="zh-CN" w:bidi="ar-SA"/>
        </w:rPr>
        <w:br w:type="page"/>
      </w:r>
    </w:p>
    <w:p>
      <w:pPr>
        <w:jc w:val="center"/>
        <w:rPr>
          <w:rFonts w:hint="eastAsia" w:ascii="宋体" w:hAnsi="宋体" w:eastAsia="宋体" w:cs="宋体"/>
          <w:b/>
          <w:bCs/>
          <w:sz w:val="32"/>
          <w:szCs w:val="32"/>
          <w:highlight w:val="none"/>
        </w:rPr>
        <w:sectPr>
          <w:headerReference r:id="rId3" w:type="default"/>
          <w:pgSz w:w="16838" w:h="11906" w:orient="landscape"/>
          <w:pgMar w:top="567" w:right="1440" w:bottom="567" w:left="1440" w:header="851" w:footer="992" w:gutter="0"/>
          <w:paperSrc/>
          <w:cols w:space="0" w:num="1"/>
          <w:rtlGutter w:val="0"/>
          <w:docGrid w:type="lines" w:linePitch="312" w:charSpace="0"/>
        </w:sectPr>
      </w:pPr>
    </w:p>
    <w:p>
      <w:pPr>
        <w:widowControl w:val="0"/>
        <w:numPr>
          <w:ilvl w:val="0"/>
          <w:numId w:val="2"/>
        </w:numPr>
        <w:tabs>
          <w:tab w:val="center" w:pos="4201"/>
          <w:tab w:val="right" w:leader="dot" w:pos="9298"/>
        </w:tabs>
        <w:autoSpaceDE/>
        <w:autoSpaceDN/>
        <w:spacing w:line="560" w:lineRule="exact"/>
        <w:ind w:firstLine="0" w:firstLineChars="0"/>
        <w:jc w:val="center"/>
        <w:rPr>
          <w:rFonts w:hint="eastAsia"/>
          <w:highlight w:val="none"/>
          <w:lang w:val="en-US" w:eastAsia="zh-CN"/>
        </w:rPr>
      </w:pPr>
      <w:r>
        <w:rPr>
          <w:rFonts w:hint="eastAsia" w:asciiTheme="minorEastAsia" w:hAnsiTheme="minorEastAsia" w:eastAsiaTheme="minorEastAsia" w:cstheme="minorEastAsia"/>
          <w:b/>
          <w:bCs/>
          <w:sz w:val="32"/>
          <w:szCs w:val="32"/>
          <w:highlight w:val="none"/>
          <w:lang w:val="en-US" w:eastAsia="zh-CN" w:bidi="ar-SA"/>
        </w:rPr>
        <w:t>煤矿</w:t>
      </w:r>
      <w:r>
        <w:rPr>
          <w:rFonts w:hint="eastAsia" w:asciiTheme="minorEastAsia" w:hAnsiTheme="minorEastAsia" w:eastAsiaTheme="minorEastAsia" w:cstheme="minorEastAsia"/>
          <w:b/>
          <w:bCs/>
          <w:color w:val="FF0000"/>
          <w:sz w:val="32"/>
          <w:szCs w:val="32"/>
          <w:highlight w:val="none"/>
          <w:lang w:val="en-US" w:eastAsia="zh-CN" w:bidi="ar-SA"/>
        </w:rPr>
        <w:t>重大灾害防治</w:t>
      </w:r>
      <w:r>
        <w:rPr>
          <w:rFonts w:hint="eastAsia" w:asciiTheme="minorEastAsia" w:hAnsiTheme="minorEastAsia" w:eastAsiaTheme="minorEastAsia" w:cstheme="minorEastAsia"/>
          <w:b/>
          <w:bCs/>
          <w:sz w:val="32"/>
          <w:szCs w:val="32"/>
          <w:highlight w:val="none"/>
          <w:lang w:val="en-US" w:eastAsia="zh-CN" w:bidi="ar-SA"/>
        </w:rPr>
        <w:t>标准化评分表</w:t>
      </w:r>
    </w:p>
    <w:tbl>
      <w:tblPr>
        <w:tblStyle w:val="8"/>
        <w:tblW w:w="13718" w:type="dxa"/>
        <w:jc w:val="center"/>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161"/>
        <w:gridCol w:w="1164"/>
        <w:gridCol w:w="4487"/>
        <w:gridCol w:w="4062"/>
        <w:gridCol w:w="2844"/>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631" w:hRule="atLeast"/>
          <w:tblHeader/>
          <w:jc w:val="center"/>
        </w:trPr>
        <w:tc>
          <w:tcPr>
            <w:tcW w:w="1161" w:type="dxa"/>
            <w:tcBorders>
              <w:tl2br w:val="nil"/>
              <w:tr2bl w:val="nil"/>
            </w:tcBorders>
            <w:vAlign w:val="center"/>
          </w:tcPr>
          <w:p>
            <w:pPr>
              <w:widowControl/>
              <w:jc w:val="center"/>
              <w:textAlignment w:val="center"/>
              <w:rPr>
                <w:rFonts w:hint="eastAsia" w:asciiTheme="majorEastAsia" w:hAnsiTheme="majorEastAsia" w:eastAsiaTheme="majorEastAsia" w:cstheme="majorEastAsia"/>
                <w:b/>
                <w:bCs/>
                <w:sz w:val="21"/>
                <w:szCs w:val="21"/>
                <w:highlight w:val="none"/>
              </w:rPr>
            </w:pPr>
            <w:r>
              <w:rPr>
                <w:rFonts w:hint="eastAsia" w:asciiTheme="majorEastAsia" w:hAnsiTheme="majorEastAsia" w:eastAsiaTheme="majorEastAsia" w:cstheme="majorEastAsia"/>
                <w:b/>
                <w:bCs/>
                <w:sz w:val="21"/>
                <w:szCs w:val="21"/>
                <w:highlight w:val="none"/>
              </w:rPr>
              <w:t>项目</w:t>
            </w:r>
          </w:p>
        </w:tc>
        <w:tc>
          <w:tcPr>
            <w:tcW w:w="1164" w:type="dxa"/>
            <w:tcBorders>
              <w:tl2br w:val="nil"/>
              <w:tr2bl w:val="nil"/>
            </w:tcBorders>
            <w:vAlign w:val="center"/>
          </w:tcPr>
          <w:p>
            <w:pPr>
              <w:widowControl/>
              <w:jc w:val="center"/>
              <w:textAlignment w:val="center"/>
              <w:rPr>
                <w:rFonts w:hint="eastAsia" w:asciiTheme="majorEastAsia" w:hAnsiTheme="majorEastAsia" w:eastAsiaTheme="majorEastAsia" w:cstheme="majorEastAsia"/>
                <w:b/>
                <w:bCs/>
                <w:sz w:val="21"/>
                <w:szCs w:val="21"/>
                <w:highlight w:val="none"/>
              </w:rPr>
            </w:pPr>
            <w:r>
              <w:rPr>
                <w:rFonts w:hint="eastAsia" w:asciiTheme="majorEastAsia" w:hAnsiTheme="majorEastAsia" w:eastAsiaTheme="majorEastAsia" w:cstheme="majorEastAsia"/>
                <w:b/>
                <w:bCs/>
                <w:sz w:val="21"/>
                <w:szCs w:val="21"/>
                <w:highlight w:val="none"/>
              </w:rPr>
              <w:t>项目</w:t>
            </w:r>
          </w:p>
          <w:p>
            <w:pPr>
              <w:widowControl/>
              <w:jc w:val="center"/>
              <w:textAlignment w:val="center"/>
              <w:rPr>
                <w:rFonts w:hint="eastAsia" w:asciiTheme="majorEastAsia" w:hAnsiTheme="majorEastAsia" w:eastAsiaTheme="majorEastAsia" w:cstheme="majorEastAsia"/>
                <w:b/>
                <w:bCs/>
                <w:sz w:val="21"/>
                <w:szCs w:val="21"/>
                <w:highlight w:val="none"/>
              </w:rPr>
            </w:pPr>
            <w:r>
              <w:rPr>
                <w:rFonts w:hint="eastAsia" w:asciiTheme="majorEastAsia" w:hAnsiTheme="majorEastAsia" w:eastAsiaTheme="majorEastAsia" w:cstheme="majorEastAsia"/>
                <w:b/>
                <w:bCs/>
                <w:sz w:val="21"/>
                <w:szCs w:val="21"/>
                <w:highlight w:val="none"/>
              </w:rPr>
              <w:t>内容</w:t>
            </w:r>
          </w:p>
        </w:tc>
        <w:tc>
          <w:tcPr>
            <w:tcW w:w="4487" w:type="dxa"/>
            <w:tcBorders>
              <w:tl2br w:val="nil"/>
              <w:tr2bl w:val="nil"/>
            </w:tcBorders>
            <w:vAlign w:val="center"/>
          </w:tcPr>
          <w:p>
            <w:pPr>
              <w:widowControl/>
              <w:jc w:val="center"/>
              <w:textAlignment w:val="center"/>
              <w:rPr>
                <w:rFonts w:hint="eastAsia" w:asciiTheme="majorEastAsia" w:hAnsiTheme="majorEastAsia" w:eastAsiaTheme="majorEastAsia" w:cstheme="majorEastAsia"/>
                <w:b/>
                <w:bCs/>
                <w:sz w:val="21"/>
                <w:szCs w:val="21"/>
                <w:highlight w:val="none"/>
              </w:rPr>
            </w:pPr>
            <w:r>
              <w:rPr>
                <w:rFonts w:hint="eastAsia" w:asciiTheme="majorEastAsia" w:hAnsiTheme="majorEastAsia" w:eastAsiaTheme="majorEastAsia" w:cstheme="majorEastAsia"/>
                <w:b/>
                <w:bCs/>
                <w:kern w:val="0"/>
                <w:sz w:val="21"/>
                <w:szCs w:val="21"/>
                <w:highlight w:val="none"/>
                <w:lang w:val="en-US" w:eastAsia="zh-CN"/>
              </w:rPr>
              <w:t>2024版</w:t>
            </w:r>
            <w:r>
              <w:rPr>
                <w:rFonts w:hint="eastAsia" w:asciiTheme="majorEastAsia" w:hAnsiTheme="majorEastAsia" w:eastAsiaTheme="majorEastAsia" w:cstheme="majorEastAsia"/>
                <w:b/>
                <w:bCs/>
                <w:kern w:val="0"/>
                <w:sz w:val="21"/>
                <w:szCs w:val="21"/>
                <w:highlight w:val="none"/>
              </w:rPr>
              <w:t>基本要求</w:t>
            </w:r>
          </w:p>
        </w:tc>
        <w:tc>
          <w:tcPr>
            <w:tcW w:w="4062" w:type="dxa"/>
            <w:tcBorders>
              <w:tl2br w:val="nil"/>
              <w:tr2bl w:val="nil"/>
            </w:tcBorders>
            <w:vAlign w:val="center"/>
          </w:tcPr>
          <w:p>
            <w:pPr>
              <w:widowControl/>
              <w:jc w:val="center"/>
              <w:textAlignment w:val="center"/>
              <w:rPr>
                <w:rFonts w:hint="eastAsia" w:asciiTheme="majorEastAsia" w:hAnsiTheme="majorEastAsia" w:eastAsiaTheme="majorEastAsia" w:cstheme="majorEastAsia"/>
                <w:b/>
                <w:bCs/>
                <w:sz w:val="21"/>
                <w:szCs w:val="21"/>
                <w:highlight w:val="none"/>
              </w:rPr>
            </w:pPr>
            <w:r>
              <w:rPr>
                <w:rFonts w:hint="eastAsia" w:asciiTheme="majorEastAsia" w:hAnsiTheme="majorEastAsia" w:eastAsiaTheme="majorEastAsia" w:cstheme="majorEastAsia"/>
                <w:b/>
                <w:bCs/>
                <w:kern w:val="0"/>
                <w:sz w:val="21"/>
                <w:szCs w:val="21"/>
                <w:highlight w:val="none"/>
                <w:lang w:val="en-US" w:eastAsia="zh-CN"/>
              </w:rPr>
              <w:t>2020版</w:t>
            </w:r>
            <w:r>
              <w:rPr>
                <w:rFonts w:hint="eastAsia" w:asciiTheme="majorEastAsia" w:hAnsiTheme="majorEastAsia" w:eastAsiaTheme="majorEastAsia" w:cstheme="majorEastAsia"/>
                <w:b/>
                <w:bCs/>
                <w:kern w:val="0"/>
                <w:sz w:val="21"/>
                <w:szCs w:val="21"/>
                <w:highlight w:val="none"/>
              </w:rPr>
              <w:t>基本要求</w:t>
            </w:r>
          </w:p>
        </w:tc>
        <w:tc>
          <w:tcPr>
            <w:tcW w:w="2844" w:type="dxa"/>
            <w:tcBorders>
              <w:tl2br w:val="nil"/>
              <w:tr2bl w:val="nil"/>
            </w:tcBorders>
            <w:vAlign w:val="center"/>
          </w:tcPr>
          <w:p>
            <w:pPr>
              <w:widowControl/>
              <w:jc w:val="center"/>
              <w:textAlignment w:val="center"/>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kern w:val="0"/>
                <w:sz w:val="21"/>
                <w:szCs w:val="21"/>
                <w:highlight w:val="none"/>
                <w:lang w:val="en-US" w:eastAsia="zh-CN"/>
              </w:rPr>
              <w:t>变化</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2031" w:hRule="atLeast"/>
          <w:jc w:val="center"/>
        </w:trPr>
        <w:tc>
          <w:tcPr>
            <w:tcW w:w="1161" w:type="dxa"/>
            <w:vMerge w:val="restart"/>
            <w:tcBorders>
              <w:tl2br w:val="nil"/>
              <w:tr2bl w:val="nil"/>
            </w:tcBorders>
            <w:textDirection w:val="tbRlV"/>
            <w:vAlign w:val="center"/>
          </w:tcPr>
          <w:p>
            <w:pPr>
              <w:widowControl/>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一、致灾因素普查（15分）</w:t>
            </w:r>
          </w:p>
        </w:tc>
        <w:tc>
          <w:tcPr>
            <w:tcW w:w="1164" w:type="dxa"/>
            <w:vMerge w:val="restart"/>
            <w:tcBorders>
              <w:tl2br w:val="nil"/>
              <w:tr2bl w:val="nil"/>
            </w:tcBorders>
            <w:vAlign w:val="center"/>
          </w:tcPr>
          <w:p>
            <w:pPr>
              <w:widowControl/>
              <w:adjustRightInd w:val="0"/>
              <w:snapToGrid w:val="0"/>
              <w:spacing w:line="240" w:lineRule="atLeast"/>
              <w:ind w:firstLine="0" w:firstLineChars="0"/>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隐蔽致灾因素普查</w:t>
            </w:r>
          </w:p>
        </w:tc>
        <w:tc>
          <w:tcPr>
            <w:tcW w:w="4487" w:type="dxa"/>
            <w:tcBorders>
              <w:tl2br w:val="nil"/>
              <w:tr2bl w:val="nil"/>
            </w:tcBorders>
            <w:vAlign w:val="center"/>
          </w:tcPr>
          <w:p>
            <w:pPr>
              <w:widowControl/>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全面普查：煤矿围绕未来3～5年采掘接续规划，每3年开展1次隐蔽致灾因素普查，查明各类灾害类型、影响范围及程度，编制普查报告，提出治理方案，建立管理台账</w:t>
            </w:r>
          </w:p>
        </w:tc>
        <w:tc>
          <w:tcPr>
            <w:tcW w:w="4062" w:type="dxa"/>
            <w:tcBorders>
              <w:tl2br w:val="nil"/>
              <w:tr2bl w:val="nil"/>
            </w:tcBorders>
            <w:vAlign w:val="center"/>
          </w:tcPr>
          <w:p>
            <w:pPr>
              <w:widowControl/>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按规定查明影响煤矿安全生产的各种隐蔽致灾地质因素</w:t>
            </w:r>
          </w:p>
        </w:tc>
        <w:tc>
          <w:tcPr>
            <w:tcW w:w="2844" w:type="dxa"/>
            <w:tcBorders>
              <w:tl2br w:val="nil"/>
              <w:tr2bl w:val="nil"/>
            </w:tcBorders>
            <w:vAlign w:val="center"/>
          </w:tcPr>
          <w:p>
            <w:pPr>
              <w:overflowPunct w:val="0"/>
              <w:adjustRightInd w:val="0"/>
              <w:snapToGrid w:val="0"/>
              <w:spacing w:line="240" w:lineRule="atLeast"/>
              <w:ind w:firstLine="0" w:firstLineChars="0"/>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增加具体普查周期，编制要求等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1467" w:hRule="atLeast"/>
          <w:jc w:val="center"/>
        </w:trPr>
        <w:tc>
          <w:tcPr>
            <w:tcW w:w="1161" w:type="dxa"/>
            <w:vMerge w:val="continue"/>
            <w:tcBorders>
              <w:tl2br w:val="nil"/>
              <w:tr2bl w:val="nil"/>
            </w:tcBorders>
            <w:vAlign w:val="center"/>
          </w:tcPr>
          <w:p>
            <w:pPr>
              <w:widowControl/>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p>
        </w:tc>
        <w:tc>
          <w:tcPr>
            <w:tcW w:w="1164" w:type="dxa"/>
            <w:vMerge w:val="continue"/>
            <w:tcBorders>
              <w:tl2br w:val="nil"/>
              <w:tr2bl w:val="nil"/>
            </w:tcBorders>
            <w:vAlign w:val="center"/>
          </w:tcPr>
          <w:p>
            <w:pPr>
              <w:widowControl/>
              <w:adjustRightInd w:val="0"/>
              <w:snapToGrid w:val="0"/>
              <w:spacing w:line="240" w:lineRule="atLeast"/>
              <w:ind w:firstLine="0" w:firstLineChars="0"/>
              <w:jc w:val="center"/>
              <w:rPr>
                <w:rFonts w:hint="eastAsia" w:asciiTheme="majorEastAsia" w:hAnsiTheme="majorEastAsia" w:eastAsiaTheme="majorEastAsia" w:cstheme="majorEastAsia"/>
                <w:sz w:val="21"/>
                <w:szCs w:val="21"/>
                <w:highlight w:val="none"/>
              </w:rPr>
            </w:pPr>
          </w:p>
        </w:tc>
        <w:tc>
          <w:tcPr>
            <w:tcW w:w="4487" w:type="dxa"/>
            <w:tcBorders>
              <w:tl2br w:val="nil"/>
              <w:tr2bl w:val="nil"/>
            </w:tcBorders>
            <w:vAlign w:val="center"/>
          </w:tcPr>
          <w:p>
            <w:pPr>
              <w:widowControl/>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补充探查：隐蔽致灾因素未查明的，应进行补充地质勘探</w:t>
            </w:r>
          </w:p>
        </w:tc>
        <w:tc>
          <w:tcPr>
            <w:tcW w:w="4062" w:type="dxa"/>
            <w:tcBorders>
              <w:tl2br w:val="nil"/>
              <w:tr2bl w:val="nil"/>
            </w:tcBorders>
            <w:vAlign w:val="center"/>
          </w:tcPr>
          <w:p>
            <w:pPr>
              <w:widowControl/>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p>
        </w:tc>
        <w:tc>
          <w:tcPr>
            <w:tcW w:w="2844" w:type="dxa"/>
            <w:tcBorders>
              <w:tl2br w:val="nil"/>
              <w:tr2bl w:val="nil"/>
            </w:tcBorders>
            <w:vAlign w:val="top"/>
          </w:tcPr>
          <w:p>
            <w:pPr>
              <w:overflowPunct w:val="0"/>
              <w:adjustRightInd w:val="0"/>
              <w:snapToGrid w:val="0"/>
              <w:spacing w:line="240" w:lineRule="atLeast"/>
              <w:ind w:firstLine="420"/>
              <w:rPr>
                <w:rFonts w:hint="eastAsia" w:asciiTheme="majorEastAsia" w:hAnsiTheme="majorEastAsia" w:eastAsiaTheme="majorEastAsia" w:cstheme="majorEastAsia"/>
                <w:color w:val="auto"/>
                <w:kern w:val="0"/>
                <w:sz w:val="21"/>
                <w:szCs w:val="21"/>
                <w:highlight w:val="none"/>
              </w:rPr>
            </w:pPr>
          </w:p>
          <w:p>
            <w:pPr>
              <w:overflowPunct w:val="0"/>
              <w:adjustRightInd w:val="0"/>
              <w:snapToGrid w:val="0"/>
              <w:spacing w:line="240" w:lineRule="atLeast"/>
              <w:ind w:firstLine="420" w:firstLineChars="0"/>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新增</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2198" w:hRule="atLeast"/>
          <w:jc w:val="center"/>
        </w:trPr>
        <w:tc>
          <w:tcPr>
            <w:tcW w:w="1161" w:type="dxa"/>
            <w:vMerge w:val="continue"/>
            <w:tcBorders>
              <w:tl2br w:val="nil"/>
              <w:tr2bl w:val="nil"/>
            </w:tcBorders>
            <w:vAlign w:val="center"/>
          </w:tcPr>
          <w:p>
            <w:pPr>
              <w:widowControl/>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p>
        </w:tc>
        <w:tc>
          <w:tcPr>
            <w:tcW w:w="1164" w:type="dxa"/>
            <w:vMerge w:val="continue"/>
            <w:tcBorders>
              <w:tl2br w:val="nil"/>
              <w:tr2bl w:val="nil"/>
            </w:tcBorders>
            <w:vAlign w:val="center"/>
          </w:tcPr>
          <w:p>
            <w:pPr>
              <w:widowControl/>
              <w:adjustRightInd w:val="0"/>
              <w:snapToGrid w:val="0"/>
              <w:spacing w:line="240" w:lineRule="atLeast"/>
              <w:ind w:firstLine="0" w:firstLineChars="0"/>
              <w:jc w:val="center"/>
              <w:rPr>
                <w:rFonts w:hint="eastAsia" w:asciiTheme="majorEastAsia" w:hAnsiTheme="majorEastAsia" w:eastAsiaTheme="majorEastAsia" w:cstheme="majorEastAsia"/>
                <w:sz w:val="21"/>
                <w:szCs w:val="21"/>
                <w:highlight w:val="none"/>
              </w:rPr>
            </w:pPr>
          </w:p>
        </w:tc>
        <w:tc>
          <w:tcPr>
            <w:tcW w:w="4487" w:type="dxa"/>
            <w:tcBorders>
              <w:tl2br w:val="nil"/>
              <w:tr2bl w:val="nil"/>
            </w:tcBorders>
            <w:vAlign w:val="center"/>
          </w:tcPr>
          <w:p>
            <w:pPr>
              <w:widowControl/>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动态排查：煤矿总工程师每月根据月度采掘生产计划开展1次隐蔽致灾因素动态排查，建立排查清单，排查出的隐蔽致灾因素作为编制月度地质等预报的依据</w:t>
            </w:r>
          </w:p>
        </w:tc>
        <w:tc>
          <w:tcPr>
            <w:tcW w:w="4062" w:type="dxa"/>
            <w:tcBorders>
              <w:tl2br w:val="nil"/>
              <w:tr2bl w:val="nil"/>
            </w:tcBorders>
            <w:vAlign w:val="center"/>
          </w:tcPr>
          <w:p>
            <w:pPr>
              <w:widowControl/>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p>
        </w:tc>
        <w:tc>
          <w:tcPr>
            <w:tcW w:w="2844" w:type="dxa"/>
            <w:tcBorders>
              <w:tl2br w:val="nil"/>
              <w:tr2bl w:val="nil"/>
            </w:tcBorders>
            <w:vAlign w:val="top"/>
          </w:tcPr>
          <w:p>
            <w:pPr>
              <w:overflowPunct w:val="0"/>
              <w:adjustRightInd w:val="0"/>
              <w:snapToGrid w:val="0"/>
              <w:spacing w:line="240" w:lineRule="atLeast"/>
              <w:ind w:firstLine="420"/>
              <w:rPr>
                <w:rFonts w:hint="eastAsia" w:asciiTheme="majorEastAsia" w:hAnsiTheme="majorEastAsia" w:eastAsiaTheme="majorEastAsia" w:cstheme="majorEastAsia"/>
                <w:color w:val="auto"/>
                <w:kern w:val="0"/>
                <w:sz w:val="21"/>
                <w:szCs w:val="21"/>
                <w:highlight w:val="none"/>
              </w:rPr>
            </w:pPr>
          </w:p>
          <w:p>
            <w:pPr>
              <w:overflowPunct w:val="0"/>
              <w:adjustRightInd w:val="0"/>
              <w:snapToGrid w:val="0"/>
              <w:spacing w:line="240" w:lineRule="atLeast"/>
              <w:ind w:firstLine="420"/>
              <w:rPr>
                <w:rFonts w:hint="eastAsia" w:asciiTheme="majorEastAsia" w:hAnsiTheme="majorEastAsia" w:eastAsiaTheme="majorEastAsia" w:cstheme="majorEastAsia"/>
                <w:color w:val="auto"/>
                <w:kern w:val="0"/>
                <w:sz w:val="21"/>
                <w:szCs w:val="21"/>
                <w:highlight w:val="none"/>
              </w:rPr>
            </w:pPr>
          </w:p>
          <w:p>
            <w:pPr>
              <w:overflowPunct w:val="0"/>
              <w:adjustRightInd w:val="0"/>
              <w:snapToGrid w:val="0"/>
              <w:spacing w:line="240" w:lineRule="atLeast"/>
              <w:ind w:firstLine="420" w:firstLineChars="0"/>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新增</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1251" w:hRule="atLeast"/>
          <w:jc w:val="center"/>
        </w:trPr>
        <w:tc>
          <w:tcPr>
            <w:tcW w:w="1161" w:type="dxa"/>
            <w:vMerge w:val="restart"/>
            <w:tcBorders>
              <w:tl2br w:val="nil"/>
              <w:tr2bl w:val="nil"/>
            </w:tcBorders>
            <w:textDirection w:val="tbRlV"/>
            <w:vAlign w:val="center"/>
          </w:tcPr>
          <w:p>
            <w:pPr>
              <w:widowControl/>
              <w:ind w:left="113" w:right="113"/>
              <w:jc w:val="center"/>
              <w:textAlignment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sz w:val="21"/>
                <w:szCs w:val="21"/>
                <w:highlight w:val="none"/>
              </w:rPr>
              <w:t>二</w:t>
            </w:r>
            <w:r>
              <w:rPr>
                <w:rFonts w:hint="eastAsia" w:asciiTheme="majorEastAsia" w:hAnsiTheme="majorEastAsia" w:eastAsiaTheme="majorEastAsia" w:cstheme="majorEastAsia"/>
                <w:kern w:val="0"/>
                <w:sz w:val="21"/>
                <w:szCs w:val="21"/>
                <w:highlight w:val="none"/>
              </w:rPr>
              <w:t>、</w:t>
            </w:r>
            <w:r>
              <w:rPr>
                <w:rFonts w:hint="eastAsia" w:asciiTheme="majorEastAsia" w:hAnsiTheme="majorEastAsia" w:eastAsiaTheme="majorEastAsia" w:cstheme="majorEastAsia"/>
                <w:kern w:val="0"/>
                <w:sz w:val="21"/>
                <w:szCs w:val="21"/>
                <w:highlight w:val="none"/>
                <w:lang w:val="en-US" w:eastAsia="zh-CN"/>
              </w:rPr>
              <w:t>灾害</w:t>
            </w:r>
            <w:r>
              <w:rPr>
                <w:rFonts w:hint="eastAsia" w:asciiTheme="majorEastAsia" w:hAnsiTheme="majorEastAsia" w:eastAsiaTheme="majorEastAsia" w:cstheme="majorEastAsia"/>
                <w:kern w:val="0"/>
                <w:sz w:val="21"/>
                <w:szCs w:val="21"/>
                <w:highlight w:val="none"/>
              </w:rPr>
              <w:t>治理规划及计划</w:t>
            </w:r>
          </w:p>
          <w:p>
            <w:pPr>
              <w:widowControl/>
              <w:ind w:left="113" w:right="113"/>
              <w:jc w:val="center"/>
              <w:textAlignment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kern w:val="0"/>
                <w:sz w:val="21"/>
                <w:szCs w:val="21"/>
                <w:highlight w:val="none"/>
              </w:rPr>
              <w:t>（10分）</w:t>
            </w:r>
          </w:p>
        </w:tc>
        <w:tc>
          <w:tcPr>
            <w:tcW w:w="1164" w:type="dxa"/>
            <w:vMerge w:val="restart"/>
            <w:tcBorders>
              <w:tl2br w:val="nil"/>
              <w:tr2bl w:val="nil"/>
            </w:tcBorders>
            <w:vAlign w:val="center"/>
          </w:tcPr>
          <w:p>
            <w:pPr>
              <w:widowControl/>
              <w:jc w:val="center"/>
              <w:textAlignment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灾害治理中长期规划和年度计划</w:t>
            </w:r>
          </w:p>
          <w:p>
            <w:pPr>
              <w:widowControl/>
              <w:jc w:val="center"/>
              <w:textAlignment w:val="center"/>
              <w:rPr>
                <w:rFonts w:hint="eastAsia" w:asciiTheme="majorEastAsia" w:hAnsiTheme="majorEastAsia" w:eastAsiaTheme="majorEastAsia" w:cstheme="majorEastAsia"/>
                <w:sz w:val="21"/>
                <w:szCs w:val="21"/>
                <w:highlight w:val="none"/>
              </w:rPr>
            </w:pPr>
          </w:p>
        </w:tc>
        <w:tc>
          <w:tcPr>
            <w:tcW w:w="4487" w:type="dxa"/>
            <w:tcBorders>
              <w:tl2br w:val="nil"/>
              <w:tr2bl w:val="nil"/>
            </w:tcBorders>
            <w:vAlign w:val="center"/>
          </w:tcPr>
          <w:p>
            <w:pPr>
              <w:widowControl/>
              <w:jc w:val="left"/>
              <w:textAlignment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治理规划编制与实施：</w:t>
            </w:r>
          </w:p>
          <w:p>
            <w:pPr>
              <w:widowControl/>
              <w:jc w:val="left"/>
              <w:textAlignment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kern w:val="0"/>
                <w:sz w:val="21"/>
                <w:szCs w:val="21"/>
                <w:highlight w:val="none"/>
              </w:rPr>
              <w:t>煤矿根据矿井中长期采掘接续计划和查明的隐蔽致灾因素情况，</w:t>
            </w:r>
            <w:r>
              <w:rPr>
                <w:rFonts w:hint="eastAsia" w:asciiTheme="majorEastAsia" w:hAnsiTheme="majorEastAsia" w:eastAsiaTheme="majorEastAsia" w:cstheme="majorEastAsia"/>
                <w:color w:val="0000FF"/>
                <w:kern w:val="0"/>
                <w:sz w:val="21"/>
                <w:szCs w:val="21"/>
                <w:highlight w:val="none"/>
              </w:rPr>
              <w:t>按规定编制灾害治理3～5年中长期规划</w:t>
            </w:r>
            <w:r>
              <w:rPr>
                <w:rFonts w:hint="eastAsia" w:asciiTheme="majorEastAsia" w:hAnsiTheme="majorEastAsia" w:eastAsiaTheme="majorEastAsia" w:cstheme="majorEastAsia"/>
                <w:kern w:val="0"/>
                <w:sz w:val="21"/>
                <w:szCs w:val="21"/>
                <w:highlight w:val="none"/>
              </w:rPr>
              <w:t>，明确重大灾害治理</w:t>
            </w:r>
            <w:r>
              <w:rPr>
                <w:rFonts w:hint="eastAsia" w:asciiTheme="majorEastAsia" w:hAnsiTheme="majorEastAsia" w:eastAsiaTheme="majorEastAsia" w:cstheme="majorEastAsia"/>
                <w:color w:val="0000FF"/>
                <w:kern w:val="0"/>
                <w:sz w:val="21"/>
                <w:szCs w:val="21"/>
                <w:highlight w:val="none"/>
              </w:rPr>
              <w:t>时间节点</w:t>
            </w:r>
            <w:r>
              <w:rPr>
                <w:rFonts w:hint="eastAsia" w:asciiTheme="majorEastAsia" w:hAnsiTheme="majorEastAsia" w:eastAsiaTheme="majorEastAsia" w:cstheme="majorEastAsia"/>
                <w:kern w:val="0"/>
                <w:sz w:val="21"/>
                <w:szCs w:val="21"/>
                <w:highlight w:val="none"/>
              </w:rPr>
              <w:t>、灾害治理</w:t>
            </w:r>
            <w:r>
              <w:rPr>
                <w:rFonts w:hint="eastAsia" w:asciiTheme="majorEastAsia" w:hAnsiTheme="majorEastAsia" w:eastAsiaTheme="majorEastAsia" w:cstheme="majorEastAsia"/>
                <w:color w:val="0000FF"/>
                <w:kern w:val="0"/>
                <w:sz w:val="21"/>
                <w:szCs w:val="21"/>
                <w:highlight w:val="none"/>
              </w:rPr>
              <w:t>工程量</w:t>
            </w:r>
            <w:r>
              <w:rPr>
                <w:rFonts w:hint="eastAsia" w:asciiTheme="majorEastAsia" w:hAnsiTheme="majorEastAsia" w:eastAsiaTheme="majorEastAsia" w:cstheme="majorEastAsia"/>
                <w:kern w:val="0"/>
                <w:sz w:val="21"/>
                <w:szCs w:val="21"/>
                <w:highlight w:val="none"/>
              </w:rPr>
              <w:t>、</w:t>
            </w:r>
            <w:r>
              <w:rPr>
                <w:rFonts w:hint="eastAsia" w:asciiTheme="majorEastAsia" w:hAnsiTheme="majorEastAsia" w:eastAsiaTheme="majorEastAsia" w:cstheme="majorEastAsia"/>
                <w:color w:val="0000FF"/>
                <w:kern w:val="0"/>
                <w:sz w:val="21"/>
                <w:szCs w:val="21"/>
                <w:highlight w:val="none"/>
              </w:rPr>
              <w:t>开工及竣工时间</w:t>
            </w:r>
            <w:r>
              <w:rPr>
                <w:rFonts w:hint="eastAsia" w:asciiTheme="majorEastAsia" w:hAnsiTheme="majorEastAsia" w:eastAsiaTheme="majorEastAsia" w:cstheme="majorEastAsia"/>
                <w:kern w:val="0"/>
                <w:sz w:val="21"/>
                <w:szCs w:val="21"/>
                <w:highlight w:val="none"/>
              </w:rPr>
              <w:t>；</w:t>
            </w:r>
            <w:r>
              <w:rPr>
                <w:rFonts w:hint="eastAsia" w:asciiTheme="majorEastAsia" w:hAnsiTheme="majorEastAsia" w:eastAsiaTheme="majorEastAsia" w:cstheme="majorEastAsia"/>
                <w:color w:val="auto"/>
                <w:sz w:val="21"/>
                <w:szCs w:val="21"/>
                <w:highlight w:val="none"/>
                <w:u w:val="none"/>
              </w:rPr>
              <w:t>因安全生产条件变化</w:t>
            </w:r>
            <w:r>
              <w:rPr>
                <w:rFonts w:hint="eastAsia" w:asciiTheme="majorEastAsia" w:hAnsiTheme="majorEastAsia" w:eastAsiaTheme="majorEastAsia" w:cstheme="majorEastAsia"/>
                <w:kern w:val="0"/>
                <w:sz w:val="21"/>
                <w:szCs w:val="21"/>
                <w:highlight w:val="none"/>
              </w:rPr>
              <w:t>确需调整规划的按原规定报批</w:t>
            </w:r>
          </w:p>
        </w:tc>
        <w:tc>
          <w:tcPr>
            <w:tcW w:w="4062" w:type="dxa"/>
            <w:tcBorders>
              <w:tl2br w:val="nil"/>
              <w:tr2bl w:val="nil"/>
            </w:tcBorders>
            <w:vAlign w:val="center"/>
          </w:tcPr>
          <w:p>
            <w:pPr>
              <w:widowControl/>
              <w:jc w:val="left"/>
              <w:textAlignment w:val="center"/>
              <w:rPr>
                <w:rFonts w:hint="eastAsia" w:asciiTheme="majorEastAsia" w:hAnsiTheme="majorEastAsia" w:eastAsiaTheme="majorEastAsia" w:cstheme="majorEastAsia"/>
                <w:kern w:val="0"/>
                <w:sz w:val="21"/>
                <w:szCs w:val="21"/>
                <w:highlight w:val="none"/>
              </w:rPr>
            </w:pPr>
          </w:p>
        </w:tc>
        <w:tc>
          <w:tcPr>
            <w:tcW w:w="2844" w:type="dxa"/>
            <w:tcBorders>
              <w:tl2br w:val="nil"/>
              <w:tr2bl w:val="nil"/>
            </w:tcBorders>
            <w:vAlign w:val="center"/>
          </w:tcPr>
          <w:p>
            <w:pPr>
              <w:widowControl/>
              <w:jc w:val="left"/>
              <w:textAlignment w:val="center"/>
              <w:rPr>
                <w:rFonts w:hint="eastAsia" w:asciiTheme="majorEastAsia" w:hAnsiTheme="majorEastAsia" w:eastAsiaTheme="majorEastAsia" w:cstheme="maj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732" w:hRule="atLeast"/>
          <w:jc w:val="center"/>
        </w:trPr>
        <w:tc>
          <w:tcPr>
            <w:tcW w:w="1161"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1164" w:type="dxa"/>
            <w:vMerge w:val="continue"/>
            <w:tcBorders>
              <w:tl2br w:val="nil"/>
              <w:tr2bl w:val="nil"/>
            </w:tcBorders>
            <w:vAlign w:val="center"/>
          </w:tcPr>
          <w:p>
            <w:pPr>
              <w:widowControl/>
              <w:jc w:val="center"/>
              <w:textAlignment w:val="center"/>
              <w:rPr>
                <w:rFonts w:hint="eastAsia" w:asciiTheme="majorEastAsia" w:hAnsiTheme="majorEastAsia" w:eastAsiaTheme="majorEastAsia" w:cstheme="majorEastAsia"/>
                <w:sz w:val="21"/>
                <w:szCs w:val="21"/>
                <w:highlight w:val="none"/>
              </w:rPr>
            </w:pPr>
          </w:p>
        </w:tc>
        <w:tc>
          <w:tcPr>
            <w:tcW w:w="4487" w:type="dxa"/>
            <w:tcBorders>
              <w:tl2br w:val="nil"/>
              <w:tr2bl w:val="nil"/>
            </w:tcBorders>
            <w:vAlign w:val="center"/>
          </w:tcPr>
          <w:p>
            <w:pPr>
              <w:widowControl/>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年度计划编制与执行：</w:t>
            </w:r>
          </w:p>
          <w:p>
            <w:pPr>
              <w:widowControl/>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1.矿长每年底根据灾害治理中长期规划和年度采掘计划，按规定组织</w:t>
            </w:r>
            <w:r>
              <w:rPr>
                <w:rFonts w:hint="eastAsia" w:asciiTheme="majorEastAsia" w:hAnsiTheme="majorEastAsia" w:eastAsiaTheme="majorEastAsia" w:cstheme="majorEastAsia"/>
                <w:color w:val="0000FF"/>
                <w:kern w:val="0"/>
                <w:sz w:val="21"/>
                <w:szCs w:val="21"/>
                <w:highlight w:val="none"/>
              </w:rPr>
              <w:t>编制下一年灾害治理年度计划</w:t>
            </w:r>
            <w:r>
              <w:rPr>
                <w:rFonts w:hint="eastAsia" w:asciiTheme="majorEastAsia" w:hAnsiTheme="majorEastAsia" w:eastAsiaTheme="majorEastAsia" w:cstheme="majorEastAsia"/>
                <w:kern w:val="0"/>
                <w:sz w:val="21"/>
                <w:szCs w:val="21"/>
                <w:highlight w:val="none"/>
              </w:rPr>
              <w:t>，内容包括</w:t>
            </w:r>
            <w:r>
              <w:rPr>
                <w:rFonts w:hint="eastAsia" w:asciiTheme="majorEastAsia" w:hAnsiTheme="majorEastAsia" w:eastAsiaTheme="majorEastAsia" w:cstheme="majorEastAsia"/>
                <w:color w:val="0000FF"/>
                <w:kern w:val="0"/>
                <w:sz w:val="21"/>
                <w:szCs w:val="21"/>
                <w:highlight w:val="none"/>
              </w:rPr>
              <w:t>矿井重大灾害治理及采掘工作面灾害治理方案</w:t>
            </w:r>
            <w:r>
              <w:rPr>
                <w:rFonts w:hint="eastAsia" w:asciiTheme="majorEastAsia" w:hAnsiTheme="majorEastAsia" w:eastAsiaTheme="majorEastAsia" w:cstheme="majorEastAsia"/>
                <w:kern w:val="0"/>
                <w:sz w:val="21"/>
                <w:szCs w:val="21"/>
                <w:highlight w:val="none"/>
              </w:rPr>
              <w:t>，明确灾害</w:t>
            </w:r>
            <w:r>
              <w:rPr>
                <w:rFonts w:hint="eastAsia" w:asciiTheme="majorEastAsia" w:hAnsiTheme="majorEastAsia" w:eastAsiaTheme="majorEastAsia" w:cstheme="majorEastAsia"/>
                <w:color w:val="0000FF"/>
                <w:kern w:val="0"/>
                <w:sz w:val="21"/>
                <w:szCs w:val="21"/>
                <w:highlight w:val="none"/>
              </w:rPr>
              <w:t>治理范围、</w:t>
            </w:r>
            <w:r>
              <w:rPr>
                <w:rFonts w:hint="eastAsia" w:asciiTheme="majorEastAsia" w:hAnsiTheme="majorEastAsia" w:eastAsiaTheme="majorEastAsia" w:cstheme="majorEastAsia"/>
                <w:color w:val="0000FF"/>
                <w:sz w:val="21"/>
                <w:szCs w:val="21"/>
                <w:highlight w:val="none"/>
                <w:u w:val="none"/>
              </w:rPr>
              <w:t>措施</w:t>
            </w:r>
            <w:r>
              <w:rPr>
                <w:rFonts w:hint="eastAsia" w:asciiTheme="majorEastAsia" w:hAnsiTheme="majorEastAsia" w:eastAsiaTheme="majorEastAsia" w:cstheme="majorEastAsia"/>
                <w:color w:val="0000FF"/>
                <w:kern w:val="0"/>
                <w:sz w:val="21"/>
                <w:szCs w:val="21"/>
                <w:highlight w:val="none"/>
              </w:rPr>
              <w:t>、工程量、起止时间、序时进度和预期效果</w:t>
            </w:r>
            <w:r>
              <w:rPr>
                <w:rFonts w:hint="eastAsia" w:asciiTheme="majorEastAsia" w:hAnsiTheme="majorEastAsia" w:eastAsiaTheme="majorEastAsia" w:cstheme="majorEastAsia"/>
                <w:kern w:val="0"/>
                <w:sz w:val="21"/>
                <w:szCs w:val="21"/>
                <w:highlight w:val="none"/>
              </w:rPr>
              <w:t>；</w:t>
            </w:r>
          </w:p>
          <w:p>
            <w:pPr>
              <w:widowControl/>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kern w:val="0"/>
                <w:sz w:val="21"/>
                <w:szCs w:val="21"/>
                <w:highlight w:val="none"/>
              </w:rPr>
              <w:t>2.煤矿</w:t>
            </w:r>
            <w:r>
              <w:rPr>
                <w:rFonts w:hint="eastAsia" w:asciiTheme="majorEastAsia" w:hAnsiTheme="majorEastAsia" w:eastAsiaTheme="majorEastAsia" w:cstheme="majorEastAsia"/>
                <w:b/>
                <w:bCs/>
                <w:color w:val="0000FF"/>
                <w:kern w:val="0"/>
                <w:sz w:val="21"/>
                <w:szCs w:val="21"/>
                <w:highlight w:val="none"/>
              </w:rPr>
              <w:t>总工程师</w:t>
            </w:r>
            <w:r>
              <w:rPr>
                <w:rFonts w:hint="eastAsia" w:asciiTheme="majorEastAsia" w:hAnsiTheme="majorEastAsia" w:eastAsiaTheme="majorEastAsia" w:cstheme="majorEastAsia"/>
                <w:color w:val="0000FF"/>
                <w:kern w:val="0"/>
                <w:sz w:val="21"/>
                <w:szCs w:val="21"/>
                <w:highlight w:val="none"/>
              </w:rPr>
              <w:t>每季度</w:t>
            </w:r>
            <w:r>
              <w:rPr>
                <w:rFonts w:hint="eastAsia" w:asciiTheme="majorEastAsia" w:hAnsiTheme="majorEastAsia" w:eastAsiaTheme="majorEastAsia" w:cstheme="majorEastAsia"/>
                <w:kern w:val="0"/>
                <w:sz w:val="21"/>
                <w:szCs w:val="21"/>
                <w:highlight w:val="none"/>
              </w:rPr>
              <w:t>组织对</w:t>
            </w:r>
            <w:r>
              <w:rPr>
                <w:rFonts w:hint="eastAsia" w:asciiTheme="majorEastAsia" w:hAnsiTheme="majorEastAsia" w:eastAsiaTheme="majorEastAsia" w:cstheme="majorEastAsia"/>
                <w:color w:val="0000FF"/>
                <w:kern w:val="0"/>
                <w:sz w:val="21"/>
                <w:szCs w:val="21"/>
                <w:highlight w:val="none"/>
              </w:rPr>
              <w:t>灾害治理方案及措施落实情况</w:t>
            </w:r>
            <w:r>
              <w:rPr>
                <w:rFonts w:hint="eastAsia" w:asciiTheme="majorEastAsia" w:hAnsiTheme="majorEastAsia" w:eastAsiaTheme="majorEastAsia" w:cstheme="majorEastAsia"/>
                <w:kern w:val="0"/>
                <w:sz w:val="21"/>
                <w:szCs w:val="21"/>
                <w:highlight w:val="none"/>
              </w:rPr>
              <w:t>、</w:t>
            </w:r>
            <w:r>
              <w:rPr>
                <w:rFonts w:hint="eastAsia" w:asciiTheme="majorEastAsia" w:hAnsiTheme="majorEastAsia" w:eastAsiaTheme="majorEastAsia" w:cstheme="majorEastAsia"/>
                <w:color w:val="0000FF"/>
                <w:kern w:val="0"/>
                <w:sz w:val="21"/>
                <w:szCs w:val="21"/>
                <w:highlight w:val="none"/>
              </w:rPr>
              <w:t>治理效果</w:t>
            </w:r>
            <w:r>
              <w:rPr>
                <w:rFonts w:hint="eastAsia" w:asciiTheme="majorEastAsia" w:hAnsiTheme="majorEastAsia" w:eastAsiaTheme="majorEastAsia" w:cstheme="majorEastAsia"/>
                <w:kern w:val="0"/>
                <w:sz w:val="21"/>
                <w:szCs w:val="21"/>
                <w:highlight w:val="none"/>
              </w:rPr>
              <w:t>进行检查</w:t>
            </w:r>
            <w:r>
              <w:rPr>
                <w:rFonts w:hint="eastAsia" w:asciiTheme="majorEastAsia" w:hAnsiTheme="majorEastAsia" w:eastAsiaTheme="majorEastAsia" w:cstheme="majorEastAsia"/>
                <w:color w:val="0000FF"/>
                <w:kern w:val="0"/>
                <w:sz w:val="21"/>
                <w:szCs w:val="21"/>
                <w:highlight w:val="none"/>
              </w:rPr>
              <w:t>分析</w:t>
            </w:r>
            <w:r>
              <w:rPr>
                <w:rFonts w:hint="eastAsia" w:asciiTheme="majorEastAsia" w:hAnsiTheme="majorEastAsia" w:eastAsiaTheme="majorEastAsia" w:cstheme="majorEastAsia"/>
                <w:kern w:val="0"/>
                <w:sz w:val="21"/>
                <w:szCs w:val="21"/>
                <w:highlight w:val="none"/>
              </w:rPr>
              <w:t>，</w:t>
            </w:r>
            <w:r>
              <w:rPr>
                <w:rFonts w:hint="eastAsia" w:asciiTheme="majorEastAsia" w:hAnsiTheme="majorEastAsia" w:eastAsiaTheme="majorEastAsia" w:cstheme="majorEastAsia"/>
                <w:color w:val="0000FF"/>
                <w:kern w:val="0"/>
                <w:sz w:val="21"/>
                <w:szCs w:val="21"/>
                <w:highlight w:val="none"/>
              </w:rPr>
              <w:t>动态补充</w:t>
            </w:r>
            <w:r>
              <w:rPr>
                <w:rFonts w:hint="eastAsia" w:asciiTheme="majorEastAsia" w:hAnsiTheme="majorEastAsia" w:eastAsiaTheme="majorEastAsia" w:cstheme="majorEastAsia"/>
                <w:kern w:val="0"/>
                <w:sz w:val="21"/>
                <w:szCs w:val="21"/>
                <w:highlight w:val="none"/>
              </w:rPr>
              <w:t>完善治理措施；</w:t>
            </w:r>
            <w:r>
              <w:rPr>
                <w:rFonts w:hint="eastAsia" w:asciiTheme="majorEastAsia" w:hAnsiTheme="majorEastAsia" w:eastAsiaTheme="majorEastAsia" w:cstheme="majorEastAsia"/>
                <w:b/>
                <w:bCs/>
                <w:color w:val="0000FF"/>
                <w:kern w:val="0"/>
                <w:sz w:val="21"/>
                <w:szCs w:val="21"/>
                <w:highlight w:val="none"/>
              </w:rPr>
              <w:t>矿长</w:t>
            </w:r>
            <w:r>
              <w:rPr>
                <w:rFonts w:hint="eastAsia" w:asciiTheme="majorEastAsia" w:hAnsiTheme="majorEastAsia" w:eastAsiaTheme="majorEastAsia" w:cstheme="majorEastAsia"/>
                <w:color w:val="0000FF"/>
                <w:kern w:val="0"/>
                <w:sz w:val="21"/>
                <w:szCs w:val="21"/>
                <w:highlight w:val="none"/>
              </w:rPr>
              <w:t>每年底组</w:t>
            </w:r>
            <w:r>
              <w:rPr>
                <w:rFonts w:hint="eastAsia" w:asciiTheme="majorEastAsia" w:hAnsiTheme="majorEastAsia" w:eastAsiaTheme="majorEastAsia" w:cstheme="majorEastAsia"/>
                <w:kern w:val="0"/>
                <w:sz w:val="21"/>
                <w:szCs w:val="21"/>
                <w:highlight w:val="none"/>
              </w:rPr>
              <w:t>织对灾害治理方案及措施执行情况进行</w:t>
            </w:r>
            <w:r>
              <w:rPr>
                <w:rFonts w:hint="eastAsia" w:asciiTheme="majorEastAsia" w:hAnsiTheme="majorEastAsia" w:eastAsiaTheme="majorEastAsia" w:cstheme="majorEastAsia"/>
                <w:color w:val="0000FF"/>
                <w:kern w:val="0"/>
                <w:sz w:val="21"/>
                <w:szCs w:val="21"/>
                <w:highlight w:val="none"/>
              </w:rPr>
              <w:t>总结</w:t>
            </w:r>
            <w:r>
              <w:rPr>
                <w:rFonts w:hint="eastAsia" w:asciiTheme="majorEastAsia" w:hAnsiTheme="majorEastAsia" w:eastAsiaTheme="majorEastAsia" w:cstheme="majorEastAsia"/>
                <w:kern w:val="0"/>
                <w:sz w:val="21"/>
                <w:szCs w:val="21"/>
                <w:highlight w:val="none"/>
              </w:rPr>
              <w:t>，</w:t>
            </w:r>
            <w:r>
              <w:rPr>
                <w:rFonts w:hint="eastAsia" w:asciiTheme="majorEastAsia" w:hAnsiTheme="majorEastAsia" w:eastAsiaTheme="majorEastAsia" w:cstheme="majorEastAsia"/>
                <w:color w:val="0000FF"/>
                <w:kern w:val="0"/>
                <w:sz w:val="21"/>
                <w:szCs w:val="21"/>
                <w:highlight w:val="none"/>
              </w:rPr>
              <w:t>分析</w:t>
            </w:r>
            <w:r>
              <w:rPr>
                <w:rFonts w:hint="eastAsia" w:asciiTheme="majorEastAsia" w:hAnsiTheme="majorEastAsia" w:eastAsiaTheme="majorEastAsia" w:cstheme="majorEastAsia"/>
                <w:kern w:val="0"/>
                <w:sz w:val="21"/>
                <w:szCs w:val="21"/>
                <w:highlight w:val="none"/>
              </w:rPr>
              <w:t>落实过程中存在问题和影响因素，提出改进措施，为下一年度灾害治理提供依据</w:t>
            </w:r>
          </w:p>
        </w:tc>
        <w:tc>
          <w:tcPr>
            <w:tcW w:w="4062" w:type="dxa"/>
            <w:tcBorders>
              <w:tl2br w:val="nil"/>
              <w:tr2bl w:val="nil"/>
            </w:tcBorders>
            <w:vAlign w:val="center"/>
          </w:tcPr>
          <w:p>
            <w:pPr>
              <w:widowControl/>
              <w:jc w:val="left"/>
              <w:textAlignment w:val="center"/>
              <w:rPr>
                <w:rFonts w:hint="eastAsia" w:asciiTheme="majorEastAsia" w:hAnsiTheme="majorEastAsia" w:eastAsiaTheme="majorEastAsia" w:cstheme="majorEastAsia"/>
                <w:kern w:val="0"/>
                <w:sz w:val="21"/>
                <w:szCs w:val="21"/>
                <w:highlight w:val="none"/>
              </w:rPr>
            </w:pPr>
          </w:p>
        </w:tc>
        <w:tc>
          <w:tcPr>
            <w:tcW w:w="2844" w:type="dxa"/>
            <w:tcBorders>
              <w:tl2br w:val="nil"/>
              <w:tr2bl w:val="nil"/>
            </w:tcBorders>
            <w:vAlign w:val="center"/>
          </w:tcPr>
          <w:p>
            <w:pPr>
              <w:rPr>
                <w:rFonts w:hint="eastAsia" w:asciiTheme="majorEastAsia" w:hAnsiTheme="majorEastAsia" w:eastAsiaTheme="majorEastAsia" w:cstheme="maj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1238" w:hRule="atLeast"/>
          <w:jc w:val="center"/>
        </w:trPr>
        <w:tc>
          <w:tcPr>
            <w:tcW w:w="1161" w:type="dxa"/>
            <w:vMerge w:val="restart"/>
            <w:tcBorders>
              <w:tl2br w:val="nil"/>
              <w:tr2bl w:val="nil"/>
            </w:tcBorders>
            <w:textDirection w:val="tbRlV"/>
            <w:vAlign w:val="center"/>
          </w:tcPr>
          <w:p>
            <w:pPr>
              <w:widowControl/>
              <w:ind w:left="113" w:right="113"/>
              <w:jc w:val="center"/>
              <w:textAlignment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三、</w:t>
            </w:r>
            <w:r>
              <w:rPr>
                <w:rFonts w:hint="eastAsia" w:asciiTheme="majorEastAsia" w:hAnsiTheme="majorEastAsia" w:eastAsiaTheme="majorEastAsia" w:cstheme="majorEastAsia"/>
                <w:sz w:val="21"/>
                <w:szCs w:val="21"/>
                <w:highlight w:val="none"/>
                <w:lang w:val="en-US" w:eastAsia="zh-CN"/>
              </w:rPr>
              <w:t>灾害</w:t>
            </w:r>
            <w:r>
              <w:rPr>
                <w:rFonts w:hint="eastAsia" w:asciiTheme="majorEastAsia" w:hAnsiTheme="majorEastAsia" w:eastAsiaTheme="majorEastAsia" w:cstheme="majorEastAsia"/>
                <w:sz w:val="21"/>
                <w:szCs w:val="21"/>
                <w:highlight w:val="none"/>
              </w:rPr>
              <w:t>防治措施</w:t>
            </w:r>
            <w:r>
              <w:rPr>
                <w:rFonts w:hint="eastAsia" w:asciiTheme="majorEastAsia" w:hAnsiTheme="majorEastAsia" w:eastAsiaTheme="majorEastAsia" w:cstheme="majorEastAsia"/>
                <w:kern w:val="0"/>
                <w:sz w:val="21"/>
                <w:szCs w:val="21"/>
                <w:highlight w:val="none"/>
              </w:rPr>
              <w:t>（75分）</w:t>
            </w:r>
          </w:p>
        </w:tc>
        <w:tc>
          <w:tcPr>
            <w:tcW w:w="1164" w:type="dxa"/>
            <w:vMerge w:val="restart"/>
            <w:tcBorders>
              <w:tl2br w:val="nil"/>
              <w:tr2bl w:val="nil"/>
            </w:tcBorders>
            <w:textDirection w:val="tbRlV"/>
            <w:vAlign w:val="center"/>
          </w:tcPr>
          <w:p>
            <w:pPr>
              <w:widowControl/>
              <w:ind w:left="113" w:right="113"/>
              <w:jc w:val="center"/>
              <w:textAlignment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FF"/>
                <w:sz w:val="21"/>
                <w:szCs w:val="21"/>
                <w:highlight w:val="none"/>
              </w:rPr>
              <w:t>防治煤尘</w:t>
            </w:r>
            <w:r>
              <w:rPr>
                <w:rFonts w:hint="eastAsia" w:asciiTheme="majorEastAsia" w:hAnsiTheme="majorEastAsia" w:eastAsiaTheme="majorEastAsia" w:cstheme="majorEastAsia"/>
                <w:sz w:val="21"/>
                <w:szCs w:val="21"/>
                <w:highlight w:val="none"/>
              </w:rPr>
              <w:t>爆炸（5分）</w:t>
            </w:r>
          </w:p>
        </w:tc>
        <w:tc>
          <w:tcPr>
            <w:tcW w:w="4487" w:type="dxa"/>
            <w:tcBorders>
              <w:tl2br w:val="nil"/>
              <w:tr2bl w:val="nil"/>
            </w:tcBorders>
            <w:vAlign w:val="center"/>
          </w:tcPr>
          <w:p>
            <w:pPr>
              <w:widowControl/>
              <w:textAlignment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auto"/>
                <w:kern w:val="0"/>
                <w:sz w:val="21"/>
                <w:szCs w:val="21"/>
                <w:highlight w:val="none"/>
              </w:rPr>
              <w:t>制度保障：建立防治煤尘爆炸制度，制定综合防尘措施、预防和隔绝煤尘爆炸措施，并组织实施</w:t>
            </w:r>
          </w:p>
        </w:tc>
        <w:tc>
          <w:tcPr>
            <w:tcW w:w="4062" w:type="dxa"/>
            <w:vMerge w:val="restart"/>
            <w:tcBorders>
              <w:tl2br w:val="nil"/>
              <w:tr2bl w:val="nil"/>
            </w:tcBorders>
            <w:vAlign w:val="center"/>
          </w:tcPr>
          <w:p>
            <w:pPr>
              <w:widowControl/>
              <w:jc w:val="left"/>
              <w:textAlignment w:val="center"/>
              <w:rPr>
                <w:rFonts w:hint="eastAsia" w:asciiTheme="majorEastAsia" w:hAnsiTheme="majorEastAsia" w:eastAsiaTheme="majorEastAsia" w:cstheme="majorEastAsia"/>
                <w:kern w:val="0"/>
                <w:sz w:val="21"/>
                <w:szCs w:val="21"/>
                <w:highlight w:val="none"/>
                <w:lang w:eastAsia="zh-CN"/>
              </w:rPr>
            </w:pPr>
            <w:r>
              <w:rPr>
                <w:rFonts w:hint="eastAsia" w:asciiTheme="majorEastAsia" w:hAnsiTheme="majorEastAsia" w:eastAsiaTheme="majorEastAsia" w:cstheme="majorEastAsia"/>
                <w:kern w:val="0"/>
                <w:sz w:val="21"/>
                <w:szCs w:val="21"/>
                <w:highlight w:val="none"/>
              </w:rPr>
              <w:t>1.有完善的矿井通风、瓦斯防治、综合防尘、防灭火、安全监控和爆破等专业管理制度，各工种有岗位安全生产责任制和操作规程，并严格执行</w:t>
            </w:r>
            <w:r>
              <w:rPr>
                <w:rFonts w:hint="eastAsia" w:asciiTheme="majorEastAsia" w:hAnsiTheme="majorEastAsia" w:eastAsiaTheme="majorEastAsia" w:cstheme="majorEastAsia"/>
                <w:kern w:val="0"/>
                <w:sz w:val="21"/>
                <w:szCs w:val="21"/>
                <w:highlight w:val="none"/>
                <w:lang w:eastAsia="zh-CN"/>
              </w:rPr>
              <w:t>。</w:t>
            </w:r>
          </w:p>
          <w:p>
            <w:pPr>
              <w:pStyle w:val="11"/>
              <w:rPr>
                <w:rFonts w:hint="eastAsia" w:asciiTheme="majorEastAsia" w:hAnsiTheme="majorEastAsia" w:eastAsiaTheme="majorEastAsia" w:cstheme="majorEastAsia"/>
                <w:kern w:val="0"/>
                <w:sz w:val="21"/>
                <w:szCs w:val="21"/>
                <w:highlight w:val="none"/>
                <w:lang w:eastAsia="zh-CN"/>
              </w:rPr>
            </w:pPr>
            <w:r>
              <w:rPr>
                <w:rFonts w:hint="eastAsia" w:asciiTheme="majorEastAsia" w:hAnsiTheme="majorEastAsia" w:eastAsiaTheme="majorEastAsia" w:cstheme="majorEastAsia"/>
                <w:sz w:val="21"/>
                <w:szCs w:val="21"/>
                <w:highlight w:val="none"/>
                <w:lang w:val="en-US" w:eastAsia="zh-CN"/>
              </w:rPr>
              <w:t>2.</w:t>
            </w:r>
            <w:r>
              <w:rPr>
                <w:rFonts w:hint="eastAsia" w:asciiTheme="majorEastAsia" w:hAnsiTheme="majorEastAsia" w:eastAsiaTheme="majorEastAsia" w:cstheme="majorEastAsia"/>
                <w:kern w:val="0"/>
                <w:sz w:val="21"/>
                <w:szCs w:val="21"/>
                <w:highlight w:val="none"/>
              </w:rPr>
              <w:t>按《煤矿安全规程》规定鉴定煤尘爆炸性；制定年度综合防尘、预防和隔绝煤尘爆炸措施，并组织实施</w:t>
            </w:r>
            <w:r>
              <w:rPr>
                <w:rFonts w:hint="eastAsia" w:asciiTheme="majorEastAsia" w:hAnsiTheme="majorEastAsia" w:eastAsiaTheme="majorEastAsia" w:cstheme="majorEastAsia"/>
                <w:kern w:val="0"/>
                <w:sz w:val="21"/>
                <w:szCs w:val="21"/>
                <w:highlight w:val="none"/>
                <w:lang w:eastAsia="zh-CN"/>
              </w:rPr>
              <w:t>。</w:t>
            </w:r>
          </w:p>
          <w:p>
            <w:pPr>
              <w:widowControl/>
              <w:jc w:val="left"/>
              <w:textAlignment w:val="center"/>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kern w:val="0"/>
                <w:sz w:val="21"/>
                <w:szCs w:val="21"/>
                <w:highlight w:val="none"/>
                <w:lang w:val="en-US" w:eastAsia="zh-CN" w:bidi="ar-SA"/>
              </w:rPr>
              <w:t>3.</w:t>
            </w:r>
            <w:r>
              <w:rPr>
                <w:rFonts w:hint="eastAsia" w:asciiTheme="majorEastAsia" w:hAnsiTheme="majorEastAsia" w:eastAsiaTheme="majorEastAsia" w:cstheme="majorEastAsia"/>
                <w:color w:val="FF0000"/>
                <w:kern w:val="0"/>
                <w:sz w:val="21"/>
                <w:szCs w:val="21"/>
                <w:highlight w:val="none"/>
                <w:lang w:val="en-US" w:eastAsia="zh-CN" w:bidi="ar-SA"/>
              </w:rPr>
              <w:t>定期冲洗巷道积尘或者撒布岩粉。主要大巷、主要进回风巷每月至少冲洗1次，其他巷道冲洗周期或者撒布岩粉由矿总工程师确定。</w:t>
            </w:r>
            <w:r>
              <w:rPr>
                <w:rFonts w:hint="eastAsia" w:asciiTheme="majorEastAsia" w:hAnsiTheme="majorEastAsia" w:eastAsiaTheme="majorEastAsia" w:cstheme="majorEastAsia"/>
                <w:kern w:val="0"/>
                <w:sz w:val="21"/>
                <w:szCs w:val="21"/>
                <w:highlight w:val="none"/>
                <w:lang w:val="en-US" w:eastAsia="zh-CN" w:bidi="ar-SA"/>
              </w:rPr>
              <w:t>巷道中无连续长5m、厚度超过2mm的煤尘堆积</w:t>
            </w:r>
          </w:p>
        </w:tc>
        <w:tc>
          <w:tcPr>
            <w:tcW w:w="2844" w:type="dxa"/>
            <w:tcBorders>
              <w:tl2br w:val="nil"/>
              <w:tr2bl w:val="nil"/>
            </w:tcBorders>
            <w:vAlign w:val="center"/>
          </w:tcPr>
          <w:p>
            <w:pPr>
              <w:widowControl/>
              <w:jc w:val="left"/>
              <w:textAlignment w:val="center"/>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一通三防各类管理制度已分开描述</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1874" w:hRule="atLeast"/>
          <w:jc w:val="center"/>
        </w:trPr>
        <w:tc>
          <w:tcPr>
            <w:tcW w:w="1161"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1164"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4487" w:type="dxa"/>
            <w:tcBorders>
              <w:tl2br w:val="nil"/>
              <w:tr2bl w:val="nil"/>
            </w:tcBorders>
            <w:vAlign w:val="center"/>
          </w:tcPr>
          <w:p>
            <w:pPr>
              <w:widowControl/>
              <w:jc w:val="left"/>
              <w:textAlignment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基础管理：</w:t>
            </w:r>
            <w:r>
              <w:rPr>
                <w:rFonts w:hint="eastAsia" w:asciiTheme="majorEastAsia" w:hAnsiTheme="majorEastAsia" w:eastAsiaTheme="majorEastAsia" w:cstheme="majorEastAsia"/>
                <w:color w:val="0000FF"/>
                <w:kern w:val="0"/>
                <w:sz w:val="21"/>
                <w:szCs w:val="21"/>
                <w:highlight w:val="none"/>
              </w:rPr>
              <w:t>生产矿井每延深一个新水平，进行1次煤尘爆炸性鉴定工作；杜绝煤尘积聚</w:t>
            </w:r>
            <w:r>
              <w:rPr>
                <w:rFonts w:hint="eastAsia" w:asciiTheme="majorEastAsia" w:hAnsiTheme="majorEastAsia" w:eastAsiaTheme="majorEastAsia" w:cstheme="majorEastAsia"/>
                <w:color w:val="auto"/>
                <w:kern w:val="0"/>
                <w:sz w:val="21"/>
                <w:szCs w:val="21"/>
                <w:highlight w:val="none"/>
              </w:rPr>
              <w:t>（厚度超过2mm，连续长度超过5m）</w:t>
            </w:r>
          </w:p>
        </w:tc>
        <w:tc>
          <w:tcPr>
            <w:tcW w:w="4062" w:type="dxa"/>
            <w:vMerge w:val="continue"/>
            <w:tcBorders>
              <w:tl2br w:val="nil"/>
              <w:tr2bl w:val="nil"/>
            </w:tcBorders>
            <w:vAlign w:val="center"/>
          </w:tcPr>
          <w:p>
            <w:pPr>
              <w:widowControl/>
              <w:jc w:val="left"/>
              <w:textAlignment w:val="center"/>
              <w:rPr>
                <w:rFonts w:hint="eastAsia" w:asciiTheme="majorEastAsia" w:hAnsiTheme="majorEastAsia" w:eastAsiaTheme="majorEastAsia" w:cstheme="majorEastAsia"/>
                <w:kern w:val="0"/>
                <w:sz w:val="21"/>
                <w:szCs w:val="21"/>
                <w:highlight w:val="none"/>
              </w:rPr>
            </w:pPr>
          </w:p>
        </w:tc>
        <w:tc>
          <w:tcPr>
            <w:tcW w:w="2844" w:type="dxa"/>
            <w:tcBorders>
              <w:tl2br w:val="nil"/>
              <w:tr2bl w:val="nil"/>
            </w:tcBorders>
            <w:vAlign w:val="center"/>
          </w:tcPr>
          <w:p>
            <w:pPr>
              <w:widowControl/>
              <w:textAlignment w:val="center"/>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1.明确新水平煤尘爆炸鉴定年限。</w:t>
            </w:r>
          </w:p>
          <w:p>
            <w:pPr>
              <w:pStyle w:val="11"/>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2.职业安全健康防尘内容均已删除，只保留煤尘堆积标准。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1561" w:hRule="atLeast"/>
          <w:jc w:val="center"/>
        </w:trPr>
        <w:tc>
          <w:tcPr>
            <w:tcW w:w="1161"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1164"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4487" w:type="dxa"/>
            <w:tcBorders>
              <w:tl2br w:val="nil"/>
              <w:tr2bl w:val="nil"/>
            </w:tcBorders>
            <w:vAlign w:val="center"/>
          </w:tcPr>
          <w:p>
            <w:pPr>
              <w:widowControl/>
              <w:jc w:val="left"/>
              <w:textAlignment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kern w:val="0"/>
                <w:sz w:val="21"/>
                <w:szCs w:val="21"/>
                <w:highlight w:val="none"/>
              </w:rPr>
              <w:t>安全</w:t>
            </w:r>
            <w:r>
              <w:rPr>
                <w:rFonts w:hint="eastAsia" w:asciiTheme="majorEastAsia" w:hAnsiTheme="majorEastAsia" w:eastAsiaTheme="majorEastAsia" w:cstheme="majorEastAsia"/>
                <w:color w:val="auto"/>
                <w:kern w:val="0"/>
                <w:sz w:val="21"/>
                <w:szCs w:val="21"/>
                <w:highlight w:val="none"/>
              </w:rPr>
              <w:t>防护：按规定设置隔爆设施，安装质量、数量等符合相关规定，并每周至少检查1次</w:t>
            </w:r>
          </w:p>
        </w:tc>
        <w:tc>
          <w:tcPr>
            <w:tcW w:w="4062" w:type="dxa"/>
            <w:tcBorders>
              <w:tl2br w:val="nil"/>
              <w:tr2bl w:val="nil"/>
            </w:tcBorders>
            <w:vAlign w:val="center"/>
          </w:tcPr>
          <w:p>
            <w:pPr>
              <w:widowControl/>
              <w:jc w:val="left"/>
              <w:textAlignment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3.按《煤矿安全规程》要求安设隔爆设施，且每周至少检查1次，隔爆设施安装的地点、数量、水量或者岩粉量及安装质量符合AQ 1020规定</w:t>
            </w:r>
          </w:p>
          <w:p>
            <w:pPr>
              <w:pStyle w:val="11"/>
              <w:rPr>
                <w:rFonts w:hint="eastAsia" w:asciiTheme="majorEastAsia" w:hAnsiTheme="majorEastAsia" w:eastAsiaTheme="majorEastAsia" w:cstheme="majorEastAsia"/>
                <w:sz w:val="21"/>
                <w:szCs w:val="21"/>
                <w:highlight w:val="none"/>
              </w:rPr>
            </w:pPr>
          </w:p>
        </w:tc>
        <w:tc>
          <w:tcPr>
            <w:tcW w:w="2844" w:type="dxa"/>
            <w:tcBorders>
              <w:tl2br w:val="nil"/>
              <w:tr2bl w:val="nil"/>
            </w:tcBorders>
            <w:vAlign w:val="center"/>
          </w:tcPr>
          <w:p>
            <w:pPr>
              <w:widowControl/>
              <w:textAlignment w:val="center"/>
              <w:rPr>
                <w:rFonts w:hint="eastAsia" w:asciiTheme="majorEastAsia" w:hAnsiTheme="majorEastAsia" w:eastAsiaTheme="majorEastAsia" w:cstheme="maj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1251" w:hRule="atLeast"/>
          <w:jc w:val="center"/>
        </w:trPr>
        <w:tc>
          <w:tcPr>
            <w:tcW w:w="1161"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1164" w:type="dxa"/>
            <w:vMerge w:val="restart"/>
            <w:tcBorders>
              <w:tl2br w:val="nil"/>
              <w:tr2bl w:val="nil"/>
            </w:tcBorders>
            <w:noWrap/>
            <w:textDirection w:val="tbRlV"/>
            <w:vAlign w:val="center"/>
          </w:tcPr>
          <w:p>
            <w:pPr>
              <w:widowControl/>
              <w:ind w:left="113" w:right="113"/>
              <w:jc w:val="center"/>
              <w:textAlignment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FF"/>
                <w:kern w:val="0"/>
                <w:sz w:val="21"/>
                <w:szCs w:val="21"/>
                <w:highlight w:val="none"/>
              </w:rPr>
              <w:t>防治火</w:t>
            </w:r>
            <w:r>
              <w:rPr>
                <w:rFonts w:hint="eastAsia" w:asciiTheme="majorEastAsia" w:hAnsiTheme="majorEastAsia" w:eastAsiaTheme="majorEastAsia" w:cstheme="majorEastAsia"/>
                <w:color w:val="0000FF"/>
                <w:sz w:val="21"/>
                <w:szCs w:val="21"/>
                <w:highlight w:val="none"/>
              </w:rPr>
              <w:t>灾事故</w:t>
            </w:r>
            <w:r>
              <w:rPr>
                <w:rFonts w:hint="eastAsia" w:asciiTheme="majorEastAsia" w:hAnsiTheme="majorEastAsia" w:eastAsiaTheme="majorEastAsia" w:cstheme="majorEastAsia"/>
                <w:sz w:val="21"/>
                <w:szCs w:val="21"/>
                <w:highlight w:val="none"/>
              </w:rPr>
              <w:t>（15分）</w:t>
            </w:r>
          </w:p>
        </w:tc>
        <w:tc>
          <w:tcPr>
            <w:tcW w:w="4487" w:type="dxa"/>
            <w:tcBorders>
              <w:tl2br w:val="nil"/>
              <w:tr2bl w:val="nil"/>
            </w:tcBorders>
            <w:vAlign w:val="center"/>
          </w:tcPr>
          <w:p>
            <w:pPr>
              <w:widowControl/>
              <w:jc w:val="left"/>
              <w:textAlignment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制度</w:t>
            </w:r>
            <w:r>
              <w:rPr>
                <w:rFonts w:hint="eastAsia" w:asciiTheme="majorEastAsia" w:hAnsiTheme="majorEastAsia" w:eastAsiaTheme="majorEastAsia" w:cstheme="majorEastAsia"/>
                <w:color w:val="auto"/>
                <w:kern w:val="0"/>
                <w:sz w:val="21"/>
                <w:szCs w:val="21"/>
                <w:highlight w:val="none"/>
              </w:rPr>
              <w:t>保障：建立防灭火管理制度，开采容易自燃和自燃煤层的矿井，编制矿井防灭火专项设计并严格执行</w:t>
            </w:r>
          </w:p>
        </w:tc>
        <w:tc>
          <w:tcPr>
            <w:tcW w:w="4062" w:type="dxa"/>
            <w:tcBorders>
              <w:tl2br w:val="nil"/>
              <w:tr2bl w:val="nil"/>
            </w:tcBorders>
            <w:vAlign w:val="center"/>
          </w:tcPr>
          <w:p>
            <w:pPr>
              <w:widowControl/>
              <w:jc w:val="left"/>
              <w:textAlignment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有完善的矿井通风、瓦斯防治、综合防尘、防灭火、安全监控和爆破等专业管理制度，各工种有岗位安全生产责任制和操作规程，并严格执行</w:t>
            </w:r>
            <w:r>
              <w:rPr>
                <w:rFonts w:hint="eastAsia" w:asciiTheme="majorEastAsia" w:hAnsiTheme="majorEastAsia" w:eastAsiaTheme="majorEastAsia" w:cstheme="majorEastAsia"/>
                <w:kern w:val="0"/>
                <w:sz w:val="21"/>
                <w:szCs w:val="21"/>
                <w:highlight w:val="none"/>
                <w:lang w:eastAsia="zh-CN"/>
              </w:rPr>
              <w:t>。</w:t>
            </w:r>
          </w:p>
        </w:tc>
        <w:tc>
          <w:tcPr>
            <w:tcW w:w="2844" w:type="dxa"/>
            <w:tcBorders>
              <w:tl2br w:val="nil"/>
              <w:tr2bl w:val="nil"/>
            </w:tcBorders>
            <w:vAlign w:val="center"/>
          </w:tcPr>
          <w:p>
            <w:pPr>
              <w:widowControl/>
              <w:jc w:val="left"/>
              <w:textAlignment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一通三防各类管理制度已分开描述</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732" w:hRule="atLeast"/>
          <w:jc w:val="center"/>
        </w:trPr>
        <w:tc>
          <w:tcPr>
            <w:tcW w:w="1161"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1164" w:type="dxa"/>
            <w:vMerge w:val="continue"/>
            <w:tcBorders>
              <w:tl2br w:val="nil"/>
              <w:tr2bl w:val="nil"/>
            </w:tcBorders>
            <w:noWrap/>
            <w:vAlign w:val="center"/>
          </w:tcPr>
          <w:p>
            <w:pPr>
              <w:widowControl/>
              <w:jc w:val="center"/>
              <w:textAlignment w:val="center"/>
              <w:rPr>
                <w:rFonts w:hint="eastAsia" w:asciiTheme="majorEastAsia" w:hAnsiTheme="majorEastAsia" w:eastAsiaTheme="majorEastAsia" w:cstheme="majorEastAsia"/>
                <w:kern w:val="0"/>
                <w:sz w:val="21"/>
                <w:szCs w:val="21"/>
                <w:highlight w:val="none"/>
              </w:rPr>
            </w:pPr>
          </w:p>
        </w:tc>
        <w:tc>
          <w:tcPr>
            <w:tcW w:w="4487" w:type="dxa"/>
            <w:tcBorders>
              <w:tl2br w:val="nil"/>
              <w:tr2bl w:val="nil"/>
            </w:tcBorders>
            <w:vAlign w:val="center"/>
          </w:tcPr>
          <w:p>
            <w:pPr>
              <w:widowControl/>
              <w:jc w:val="left"/>
              <w:textAlignment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基础管理：</w:t>
            </w:r>
          </w:p>
          <w:p>
            <w:pPr>
              <w:widowControl/>
              <w:jc w:val="left"/>
              <w:textAlignment w:val="center"/>
              <w:rPr>
                <w:rFonts w:hint="eastAsia" w:asciiTheme="majorEastAsia" w:hAnsiTheme="majorEastAsia" w:eastAsiaTheme="majorEastAsia" w:cstheme="majorEastAsia"/>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kern w:val="0"/>
                <w:sz w:val="21"/>
                <w:szCs w:val="21"/>
                <w:highlight w:val="none"/>
              </w:rPr>
              <w:t>1.按规定进</w:t>
            </w:r>
            <w:r>
              <w:rPr>
                <w:rFonts w:hint="eastAsia" w:asciiTheme="majorEastAsia" w:hAnsiTheme="majorEastAsia" w:eastAsiaTheme="majorEastAsia" w:cstheme="majorEastAsia"/>
                <w:color w:val="auto"/>
                <w:kern w:val="0"/>
                <w:sz w:val="21"/>
                <w:szCs w:val="21"/>
                <w:highlight w:val="none"/>
              </w:rPr>
              <w:t>行煤层自燃倾向性鉴定，</w:t>
            </w:r>
            <w:r>
              <w:rPr>
                <w:rFonts w:hint="eastAsia" w:asciiTheme="majorEastAsia" w:hAnsiTheme="majorEastAsia" w:eastAsiaTheme="majorEastAsia" w:cstheme="majorEastAsia"/>
                <w:color w:val="0000FF"/>
                <w:kern w:val="0"/>
                <w:sz w:val="21"/>
                <w:szCs w:val="21"/>
                <w:highlight w:val="none"/>
              </w:rPr>
              <w:t>确定煤层最短自然发火期、</w:t>
            </w:r>
            <w:r>
              <w:rPr>
                <w:rFonts w:hint="eastAsia" w:asciiTheme="majorEastAsia" w:hAnsiTheme="majorEastAsia" w:eastAsiaTheme="majorEastAsia" w:cstheme="majorEastAsia"/>
                <w:color w:val="000000" w:themeColor="text1"/>
                <w:kern w:val="0"/>
                <w:sz w:val="21"/>
                <w:szCs w:val="21"/>
                <w:highlight w:val="none"/>
                <w14:textFill>
                  <w14:solidFill>
                    <w14:schemeClr w14:val="tx1"/>
                  </w14:solidFill>
                </w14:textFill>
              </w:rPr>
              <w:t>自然发火标志气体及临界值；</w:t>
            </w:r>
          </w:p>
          <w:p>
            <w:pPr>
              <w:widowControl/>
              <w:jc w:val="left"/>
              <w:textAlignment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2.开采容易自燃和自燃煤层，</w:t>
            </w:r>
            <w:r>
              <w:rPr>
                <w:rFonts w:hint="eastAsia" w:asciiTheme="majorEastAsia" w:hAnsiTheme="majorEastAsia" w:eastAsiaTheme="majorEastAsia" w:cstheme="majorEastAsia"/>
                <w:color w:val="0000FF"/>
                <w:kern w:val="0"/>
                <w:sz w:val="21"/>
                <w:szCs w:val="21"/>
                <w:highlight w:val="none"/>
              </w:rPr>
              <w:t>同一煤层至少测定1次采煤工作面采空区自然发火“三带”分布范围，当采煤工作面采煤方法、通风方式等发生重大变化时，应当重新测定；</w:t>
            </w:r>
          </w:p>
          <w:p>
            <w:pPr>
              <w:widowControl/>
              <w:jc w:val="left"/>
              <w:textAlignment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kern w:val="0"/>
                <w:sz w:val="21"/>
                <w:szCs w:val="21"/>
                <w:highlight w:val="none"/>
              </w:rPr>
              <w:t>3.按规定配备消防器材，井上下设置消防材料库</w:t>
            </w:r>
          </w:p>
        </w:tc>
        <w:tc>
          <w:tcPr>
            <w:tcW w:w="4062" w:type="dxa"/>
            <w:tcBorders>
              <w:tl2br w:val="nil"/>
              <w:tr2bl w:val="nil"/>
            </w:tcBorders>
            <w:vAlign w:val="center"/>
          </w:tcPr>
          <w:p>
            <w:pPr>
              <w:widowControl/>
              <w:jc w:val="left"/>
              <w:textAlignment w:val="center"/>
              <w:rPr>
                <w:rFonts w:hint="eastAsia" w:asciiTheme="majorEastAsia" w:hAnsiTheme="majorEastAsia" w:eastAsiaTheme="majorEastAsia" w:cstheme="majorEastAsia"/>
                <w:b/>
                <w:bCs/>
                <w:kern w:val="0"/>
                <w:sz w:val="21"/>
                <w:szCs w:val="21"/>
                <w:highlight w:val="none"/>
              </w:rPr>
            </w:pPr>
            <w:r>
              <w:rPr>
                <w:rFonts w:hint="eastAsia" w:asciiTheme="majorEastAsia" w:hAnsiTheme="majorEastAsia" w:eastAsiaTheme="majorEastAsia" w:cstheme="majorEastAsia"/>
                <w:b/>
                <w:bCs/>
                <w:kern w:val="0"/>
                <w:sz w:val="21"/>
                <w:szCs w:val="21"/>
                <w:highlight w:val="none"/>
              </w:rPr>
              <w:t>防治措施</w:t>
            </w:r>
          </w:p>
          <w:p>
            <w:pPr>
              <w:widowControl/>
              <w:jc w:val="left"/>
              <w:textAlignment w:val="center"/>
              <w:rPr>
                <w:rFonts w:hint="eastAsia" w:asciiTheme="majorEastAsia" w:hAnsiTheme="majorEastAsia" w:eastAsiaTheme="majorEastAsia" w:cstheme="majorEastAsia"/>
                <w:kern w:val="0"/>
                <w:sz w:val="21"/>
                <w:szCs w:val="21"/>
                <w:highlight w:val="none"/>
                <w:lang w:eastAsia="zh-CN"/>
              </w:rPr>
            </w:pPr>
            <w:r>
              <w:rPr>
                <w:rFonts w:hint="eastAsia" w:asciiTheme="majorEastAsia" w:hAnsiTheme="majorEastAsia" w:eastAsiaTheme="majorEastAsia" w:cstheme="majorEastAsia"/>
                <w:kern w:val="0"/>
                <w:sz w:val="21"/>
                <w:szCs w:val="21"/>
                <w:highlight w:val="none"/>
                <w:lang w:val="en-US" w:eastAsia="zh-CN"/>
              </w:rPr>
              <w:t>1.</w:t>
            </w:r>
            <w:r>
              <w:rPr>
                <w:rFonts w:hint="eastAsia" w:asciiTheme="majorEastAsia" w:hAnsiTheme="majorEastAsia" w:eastAsiaTheme="majorEastAsia" w:cstheme="majorEastAsia"/>
                <w:kern w:val="0"/>
                <w:sz w:val="21"/>
                <w:szCs w:val="21"/>
                <w:highlight w:val="none"/>
              </w:rPr>
              <w:t>按《煤矿安全规程》规定进行煤层的自燃倾向性鉴定，制定矿井防灭火措施，建立防灭火系统，并严格执行</w:t>
            </w:r>
            <w:r>
              <w:rPr>
                <w:rFonts w:hint="eastAsia" w:asciiTheme="majorEastAsia" w:hAnsiTheme="majorEastAsia" w:eastAsiaTheme="majorEastAsia" w:cstheme="majorEastAsia"/>
                <w:kern w:val="0"/>
                <w:sz w:val="21"/>
                <w:szCs w:val="21"/>
                <w:highlight w:val="none"/>
                <w:lang w:eastAsia="zh-CN"/>
              </w:rPr>
              <w:t>。</w:t>
            </w:r>
          </w:p>
          <w:p>
            <w:pPr>
              <w:pStyle w:val="11"/>
              <w:rPr>
                <w:rFonts w:hint="eastAsia" w:asciiTheme="majorEastAsia" w:hAnsiTheme="majorEastAsia" w:eastAsiaTheme="majorEastAsia" w:cstheme="majorEastAsia"/>
                <w:kern w:val="0"/>
                <w:sz w:val="21"/>
                <w:szCs w:val="21"/>
                <w:highlight w:val="none"/>
                <w:lang w:eastAsia="zh-CN"/>
              </w:rPr>
            </w:pPr>
            <w:r>
              <w:rPr>
                <w:rFonts w:hint="eastAsia" w:asciiTheme="majorEastAsia" w:hAnsiTheme="majorEastAsia" w:eastAsiaTheme="majorEastAsia" w:cstheme="majorEastAsia"/>
                <w:kern w:val="0"/>
                <w:sz w:val="21"/>
                <w:szCs w:val="21"/>
                <w:highlight w:val="none"/>
              </w:rPr>
              <w:t>2.开采自燃、容易自燃煤层的采掘工作面作业规程有防止自然发火的技术措施，并严格执行</w:t>
            </w:r>
            <w:r>
              <w:rPr>
                <w:rFonts w:hint="eastAsia" w:asciiTheme="majorEastAsia" w:hAnsiTheme="majorEastAsia" w:eastAsiaTheme="majorEastAsia" w:cstheme="majorEastAsia"/>
                <w:kern w:val="0"/>
                <w:sz w:val="21"/>
                <w:szCs w:val="21"/>
                <w:highlight w:val="none"/>
                <w:lang w:eastAsia="zh-CN"/>
              </w:rPr>
              <w:t>。</w:t>
            </w:r>
          </w:p>
          <w:p>
            <w:pPr>
              <w:pStyle w:val="11"/>
              <w:rPr>
                <w:rFonts w:hint="eastAsia" w:asciiTheme="majorEastAsia" w:hAnsiTheme="majorEastAsia" w:eastAsiaTheme="majorEastAsia" w:cstheme="majorEastAsia"/>
                <w:kern w:val="0"/>
                <w:sz w:val="21"/>
                <w:szCs w:val="21"/>
                <w:highlight w:val="none"/>
                <w:lang w:eastAsia="zh-CN"/>
              </w:rPr>
            </w:pPr>
            <w:r>
              <w:rPr>
                <w:rFonts w:hint="eastAsia" w:asciiTheme="majorEastAsia" w:hAnsiTheme="majorEastAsia" w:eastAsiaTheme="majorEastAsia" w:cstheme="majorEastAsia"/>
                <w:kern w:val="0"/>
                <w:sz w:val="21"/>
                <w:szCs w:val="21"/>
                <w:highlight w:val="none"/>
              </w:rPr>
              <w:t>4.每处火区建有火区管理卡片，绘制火区位置关系图；启封火区有计划和安全措施，并经企业技术负责人批准</w:t>
            </w:r>
          </w:p>
          <w:p>
            <w:pPr>
              <w:pStyle w:val="11"/>
              <w:rPr>
                <w:rFonts w:hint="eastAsia" w:asciiTheme="majorEastAsia" w:hAnsiTheme="majorEastAsia" w:eastAsiaTheme="majorEastAsia" w:cstheme="majorEastAsia"/>
                <w:b/>
                <w:bCs/>
                <w:kern w:val="0"/>
                <w:sz w:val="21"/>
                <w:szCs w:val="21"/>
                <w:highlight w:val="none"/>
              </w:rPr>
            </w:pPr>
            <w:r>
              <w:rPr>
                <w:rFonts w:hint="eastAsia" w:asciiTheme="majorEastAsia" w:hAnsiTheme="majorEastAsia" w:eastAsiaTheme="majorEastAsia" w:cstheme="majorEastAsia"/>
                <w:b/>
                <w:bCs/>
                <w:kern w:val="0"/>
                <w:sz w:val="21"/>
                <w:szCs w:val="21"/>
                <w:highlight w:val="none"/>
              </w:rPr>
              <w:t>设施设备</w:t>
            </w:r>
          </w:p>
          <w:p>
            <w:pPr>
              <w:pStyle w:val="11"/>
              <w:rPr>
                <w:rFonts w:hint="eastAsia" w:asciiTheme="majorEastAsia" w:hAnsiTheme="majorEastAsia" w:eastAsiaTheme="majorEastAsia" w:cstheme="majorEastAsia"/>
                <w:kern w:val="0"/>
                <w:sz w:val="21"/>
                <w:szCs w:val="21"/>
                <w:highlight w:val="none"/>
                <w:lang w:eastAsia="zh-CN"/>
              </w:rPr>
            </w:pPr>
            <w:r>
              <w:rPr>
                <w:rFonts w:hint="eastAsia" w:asciiTheme="majorEastAsia" w:hAnsiTheme="majorEastAsia" w:eastAsiaTheme="majorEastAsia" w:cstheme="majorEastAsia"/>
                <w:kern w:val="0"/>
                <w:sz w:val="21"/>
                <w:szCs w:val="21"/>
                <w:highlight w:val="none"/>
              </w:rPr>
              <w:t>1.按《煤矿安全规程》规定设置井上、下消防材料库，配足消防器材，且每季度至少检查1次</w:t>
            </w:r>
            <w:r>
              <w:rPr>
                <w:rFonts w:hint="eastAsia" w:asciiTheme="majorEastAsia" w:hAnsiTheme="majorEastAsia" w:eastAsiaTheme="majorEastAsia" w:cstheme="majorEastAsia"/>
                <w:kern w:val="0"/>
                <w:sz w:val="21"/>
                <w:szCs w:val="21"/>
                <w:highlight w:val="none"/>
                <w:lang w:eastAsia="zh-CN"/>
              </w:rPr>
              <w:t>。</w:t>
            </w:r>
          </w:p>
          <w:p>
            <w:pPr>
              <w:pStyle w:val="11"/>
              <w:rPr>
                <w:rFonts w:hint="eastAsia" w:asciiTheme="majorEastAsia" w:hAnsiTheme="majorEastAsia" w:eastAsiaTheme="majorEastAsia" w:cstheme="majorEastAsia"/>
                <w:b/>
                <w:bCs/>
                <w:kern w:val="0"/>
                <w:sz w:val="21"/>
                <w:szCs w:val="21"/>
                <w:highlight w:val="none"/>
                <w:lang w:eastAsia="zh-CN"/>
              </w:rPr>
            </w:pPr>
            <w:r>
              <w:rPr>
                <w:rFonts w:hint="eastAsia" w:asciiTheme="majorEastAsia" w:hAnsiTheme="majorEastAsia" w:eastAsiaTheme="majorEastAsia" w:cstheme="majorEastAsia"/>
                <w:kern w:val="0"/>
                <w:sz w:val="21"/>
                <w:szCs w:val="21"/>
                <w:highlight w:val="none"/>
              </w:rPr>
              <w:t>2.按《煤矿安全规程》规定井下爆炸物品库、机电设备硐室、检修硐室、材料库等地点的支护和风门、风窗采用不燃性材料，并配备有灭火器材，其种类、数量、规格及存放地点，均在灾害预防和处理计划中明确规定</w:t>
            </w:r>
          </w:p>
          <w:p>
            <w:pPr>
              <w:pStyle w:val="11"/>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kern w:val="0"/>
                <w:sz w:val="21"/>
                <w:szCs w:val="21"/>
                <w:highlight w:val="none"/>
              </w:rPr>
              <w:t>3.矿井设有地面消防水池和井下消防管路系统，每隔100m(在带式输送机的巷道中每隔50m)设置支管和阀门，并正常使用。地面消防水池保持不少于200m</w:t>
            </w:r>
            <w:r>
              <w:rPr>
                <w:rFonts w:hint="eastAsia" w:asciiTheme="majorEastAsia" w:hAnsiTheme="majorEastAsia" w:eastAsiaTheme="majorEastAsia" w:cstheme="majorEastAsia"/>
                <w:kern w:val="0"/>
                <w:sz w:val="21"/>
                <w:szCs w:val="21"/>
                <w:highlight w:val="none"/>
                <w:vertAlign w:val="superscript"/>
              </w:rPr>
              <w:t>3</w:t>
            </w:r>
            <w:r>
              <w:rPr>
                <w:rFonts w:hint="eastAsia" w:asciiTheme="majorEastAsia" w:hAnsiTheme="majorEastAsia" w:eastAsiaTheme="majorEastAsia" w:cstheme="majorEastAsia"/>
                <w:kern w:val="0"/>
                <w:sz w:val="21"/>
                <w:szCs w:val="21"/>
                <w:highlight w:val="none"/>
              </w:rPr>
              <w:t>的水量，每季度至少检查1次4.开采容易自燃和自燃煤层，确定煤层自然发火标志气体及临界值，开展自然发火预测预报工作，建立监测系统；在</w:t>
            </w:r>
            <w:r>
              <w:rPr>
                <w:rFonts w:hint="eastAsia" w:asciiTheme="majorEastAsia" w:hAnsiTheme="majorEastAsia" w:eastAsiaTheme="majorEastAsia" w:cstheme="majorEastAsia"/>
                <w:bCs/>
                <w:kern w:val="0"/>
                <w:sz w:val="21"/>
                <w:szCs w:val="21"/>
                <w:highlight w:val="none"/>
              </w:rPr>
              <w:t>矿井防止自然发火</w:t>
            </w:r>
            <w:r>
              <w:rPr>
                <w:rFonts w:hint="eastAsia" w:asciiTheme="majorEastAsia" w:hAnsiTheme="majorEastAsia" w:eastAsiaTheme="majorEastAsia" w:cstheme="majorEastAsia"/>
                <w:kern w:val="0"/>
                <w:sz w:val="21"/>
                <w:szCs w:val="21"/>
                <w:highlight w:val="none"/>
              </w:rPr>
              <w:t>设计中明确选定自然发火观测站或者观测点，每周进行1次观测分析；发现异常，立即采取措施处理</w:t>
            </w:r>
            <w:r>
              <w:rPr>
                <w:rFonts w:hint="eastAsia" w:asciiTheme="majorEastAsia" w:hAnsiTheme="majorEastAsia" w:eastAsiaTheme="majorEastAsia" w:cstheme="majorEastAsia"/>
                <w:kern w:val="0"/>
                <w:sz w:val="21"/>
                <w:szCs w:val="21"/>
                <w:highlight w:val="none"/>
                <w:lang w:eastAsia="zh-CN"/>
              </w:rPr>
              <w:t>。</w:t>
            </w:r>
          </w:p>
        </w:tc>
        <w:tc>
          <w:tcPr>
            <w:tcW w:w="2844" w:type="dxa"/>
            <w:tcBorders>
              <w:tl2br w:val="nil"/>
              <w:tr2bl w:val="nil"/>
            </w:tcBorders>
            <w:vAlign w:val="center"/>
          </w:tcPr>
          <w:p>
            <w:pPr>
              <w:widowControl/>
              <w:jc w:val="left"/>
              <w:textAlignment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1.新增需确定</w:t>
            </w:r>
            <w:r>
              <w:rPr>
                <w:rFonts w:hint="eastAsia" w:asciiTheme="majorEastAsia" w:hAnsiTheme="majorEastAsia" w:eastAsiaTheme="majorEastAsia" w:cstheme="majorEastAsia"/>
                <w:color w:val="auto"/>
                <w:kern w:val="0"/>
                <w:sz w:val="21"/>
                <w:szCs w:val="21"/>
                <w:highlight w:val="none"/>
              </w:rPr>
              <w:t>煤层最短自然发火期</w:t>
            </w:r>
          </w:p>
          <w:p>
            <w:pPr>
              <w:pStyle w:val="11"/>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2.新增明确测定</w:t>
            </w:r>
            <w:r>
              <w:rPr>
                <w:rFonts w:hint="eastAsia" w:asciiTheme="majorEastAsia" w:hAnsiTheme="majorEastAsia" w:eastAsiaTheme="majorEastAsia" w:cstheme="majorEastAsia"/>
                <w:color w:val="auto"/>
                <w:kern w:val="0"/>
                <w:sz w:val="21"/>
                <w:szCs w:val="21"/>
                <w:highlight w:val="none"/>
              </w:rPr>
              <w:t>采空区自然发火</w:t>
            </w:r>
            <w:r>
              <w:rPr>
                <w:rFonts w:hint="eastAsia" w:asciiTheme="majorEastAsia" w:hAnsiTheme="majorEastAsia" w:eastAsiaTheme="majorEastAsia" w:cstheme="majorEastAsia"/>
                <w:color w:val="auto"/>
                <w:kern w:val="0"/>
                <w:sz w:val="21"/>
                <w:szCs w:val="21"/>
                <w:highlight w:val="none"/>
                <w:lang w:val="en-US" w:eastAsia="zh-CN"/>
              </w:rPr>
              <w:t>“三带”</w:t>
            </w:r>
            <w:r>
              <w:rPr>
                <w:rFonts w:hint="eastAsia" w:asciiTheme="majorEastAsia" w:hAnsiTheme="majorEastAsia" w:eastAsiaTheme="majorEastAsia" w:cstheme="majorEastAsia"/>
                <w:color w:val="auto"/>
                <w:kern w:val="0"/>
                <w:sz w:val="21"/>
                <w:szCs w:val="21"/>
                <w:highlight w:val="none"/>
              </w:rPr>
              <w:t>分布范围</w:t>
            </w:r>
            <w:r>
              <w:rPr>
                <w:rFonts w:hint="eastAsia" w:asciiTheme="majorEastAsia" w:hAnsiTheme="majorEastAsia" w:eastAsiaTheme="majorEastAsia" w:cstheme="majorEastAsia"/>
                <w:color w:val="auto"/>
                <w:kern w:val="0"/>
                <w:sz w:val="21"/>
                <w:szCs w:val="21"/>
                <w:highlight w:val="none"/>
                <w:lang w:val="en-US" w:eastAsia="zh-CN"/>
              </w:rPr>
              <w:t>及重新测定要求。</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2108" w:hRule="atLeast"/>
          <w:jc w:val="center"/>
        </w:trPr>
        <w:tc>
          <w:tcPr>
            <w:tcW w:w="1161"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1164" w:type="dxa"/>
            <w:vMerge w:val="continue"/>
            <w:tcBorders>
              <w:tl2br w:val="nil"/>
              <w:tr2bl w:val="nil"/>
            </w:tcBorders>
            <w:noWrap/>
            <w:vAlign w:val="center"/>
          </w:tcPr>
          <w:p>
            <w:pPr>
              <w:widowControl/>
              <w:jc w:val="center"/>
              <w:textAlignment w:val="center"/>
              <w:rPr>
                <w:rFonts w:hint="eastAsia" w:asciiTheme="majorEastAsia" w:hAnsiTheme="majorEastAsia" w:eastAsiaTheme="majorEastAsia" w:cstheme="majorEastAsia"/>
                <w:kern w:val="0"/>
                <w:sz w:val="21"/>
                <w:szCs w:val="21"/>
                <w:highlight w:val="none"/>
              </w:rPr>
            </w:pPr>
          </w:p>
        </w:tc>
        <w:tc>
          <w:tcPr>
            <w:tcW w:w="4487" w:type="dxa"/>
            <w:tcBorders>
              <w:tl2br w:val="nil"/>
              <w:tr2bl w:val="nil"/>
            </w:tcBorders>
            <w:vAlign w:val="center"/>
          </w:tcPr>
          <w:p>
            <w:pPr>
              <w:widowControl/>
              <w:textAlignment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监测监控：开采容易自燃和自燃煤层的矿井，必须建立</w:t>
            </w:r>
            <w:r>
              <w:rPr>
                <w:rFonts w:hint="eastAsia" w:asciiTheme="majorEastAsia" w:hAnsiTheme="majorEastAsia" w:eastAsiaTheme="majorEastAsia" w:cstheme="majorEastAsia"/>
                <w:color w:val="0000FF"/>
                <w:kern w:val="0"/>
                <w:sz w:val="21"/>
                <w:szCs w:val="21"/>
                <w:highlight w:val="none"/>
              </w:rPr>
              <w:t>自然发火监测系统</w:t>
            </w:r>
            <w:r>
              <w:rPr>
                <w:rFonts w:hint="eastAsia" w:asciiTheme="majorEastAsia" w:hAnsiTheme="majorEastAsia" w:eastAsiaTheme="majorEastAsia" w:cstheme="majorEastAsia"/>
                <w:kern w:val="0"/>
                <w:sz w:val="21"/>
                <w:szCs w:val="21"/>
                <w:highlight w:val="none"/>
              </w:rPr>
              <w:t>，采用</w:t>
            </w:r>
            <w:r>
              <w:rPr>
                <w:rFonts w:hint="eastAsia" w:asciiTheme="majorEastAsia" w:hAnsiTheme="majorEastAsia" w:eastAsiaTheme="majorEastAsia" w:cstheme="majorEastAsia"/>
                <w:color w:val="0000FF"/>
                <w:kern w:val="0"/>
                <w:sz w:val="21"/>
                <w:szCs w:val="21"/>
                <w:highlight w:val="none"/>
              </w:rPr>
              <w:t>连续自动</w:t>
            </w:r>
            <w:r>
              <w:rPr>
                <w:rFonts w:hint="eastAsia" w:asciiTheme="majorEastAsia" w:hAnsiTheme="majorEastAsia" w:eastAsiaTheme="majorEastAsia" w:cstheme="majorEastAsia"/>
                <w:b/>
                <w:bCs/>
                <w:color w:val="0000FF"/>
                <w:kern w:val="0"/>
                <w:sz w:val="21"/>
                <w:szCs w:val="21"/>
                <w:highlight w:val="none"/>
              </w:rPr>
              <w:t>或者</w:t>
            </w:r>
            <w:r>
              <w:rPr>
                <w:rFonts w:hint="eastAsia" w:asciiTheme="majorEastAsia" w:hAnsiTheme="majorEastAsia" w:eastAsiaTheme="majorEastAsia" w:cstheme="majorEastAsia"/>
                <w:color w:val="0000FF"/>
                <w:kern w:val="0"/>
                <w:sz w:val="21"/>
                <w:szCs w:val="21"/>
                <w:highlight w:val="none"/>
              </w:rPr>
              <w:t>人工采样方式</w:t>
            </w:r>
            <w:r>
              <w:rPr>
                <w:rFonts w:hint="eastAsia" w:asciiTheme="majorEastAsia" w:hAnsiTheme="majorEastAsia" w:eastAsiaTheme="majorEastAsia" w:cstheme="majorEastAsia"/>
                <w:kern w:val="0"/>
                <w:sz w:val="21"/>
                <w:szCs w:val="21"/>
                <w:highlight w:val="none"/>
              </w:rPr>
              <w:t>，监测</w:t>
            </w:r>
            <w:r>
              <w:rPr>
                <w:rFonts w:hint="eastAsia" w:asciiTheme="majorEastAsia" w:hAnsiTheme="majorEastAsia" w:eastAsiaTheme="majorEastAsia" w:cstheme="majorEastAsia"/>
                <w:color w:val="0000FF"/>
                <w:kern w:val="0"/>
                <w:sz w:val="21"/>
                <w:szCs w:val="21"/>
                <w:highlight w:val="none"/>
              </w:rPr>
              <w:t>甲烷、一氧化碳、二氧化碳、氧气气体成分变化</w:t>
            </w:r>
            <w:r>
              <w:rPr>
                <w:rFonts w:hint="eastAsia" w:asciiTheme="majorEastAsia" w:hAnsiTheme="majorEastAsia" w:eastAsiaTheme="majorEastAsia" w:cstheme="majorEastAsia"/>
                <w:kern w:val="0"/>
                <w:sz w:val="21"/>
                <w:szCs w:val="21"/>
                <w:highlight w:val="none"/>
              </w:rPr>
              <w:t>，按规定设置</w:t>
            </w:r>
            <w:r>
              <w:rPr>
                <w:rFonts w:hint="eastAsia" w:asciiTheme="majorEastAsia" w:hAnsiTheme="majorEastAsia" w:eastAsiaTheme="majorEastAsia" w:cstheme="majorEastAsia"/>
                <w:color w:val="0000FF"/>
                <w:kern w:val="0"/>
                <w:sz w:val="21"/>
                <w:szCs w:val="21"/>
                <w:highlight w:val="none"/>
              </w:rPr>
              <w:t>一氧化碳和温度传感器</w:t>
            </w:r>
          </w:p>
        </w:tc>
        <w:tc>
          <w:tcPr>
            <w:tcW w:w="4062" w:type="dxa"/>
            <w:tcBorders>
              <w:tl2br w:val="nil"/>
              <w:tr2bl w:val="nil"/>
            </w:tcBorders>
            <w:vAlign w:val="center"/>
          </w:tcPr>
          <w:p>
            <w:pPr>
              <w:widowControl/>
              <w:jc w:val="left"/>
              <w:textAlignment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lang w:val="en-US" w:eastAsia="zh-CN" w:bidi="ar-SA"/>
              </w:rPr>
              <w:t>无一氧化碳超限作业，采空区密闭内及其他地点无超过35℃的高温点（因地温和水温影响的除外）</w:t>
            </w:r>
          </w:p>
        </w:tc>
        <w:tc>
          <w:tcPr>
            <w:tcW w:w="2844" w:type="dxa"/>
            <w:tcBorders>
              <w:tl2br w:val="nil"/>
              <w:tr2bl w:val="nil"/>
            </w:tcBorders>
            <w:vAlign w:val="center"/>
          </w:tcPr>
          <w:p>
            <w:pPr>
              <w:widowControl/>
              <w:textAlignment w:val="center"/>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新增明确建立自然</w:t>
            </w:r>
            <w:r>
              <w:rPr>
                <w:rFonts w:hint="eastAsia" w:asciiTheme="majorEastAsia" w:hAnsiTheme="majorEastAsia" w:eastAsiaTheme="majorEastAsia" w:cstheme="majorEastAsia"/>
                <w:color w:val="auto"/>
                <w:kern w:val="0"/>
                <w:sz w:val="21"/>
                <w:szCs w:val="21"/>
                <w:highlight w:val="none"/>
              </w:rPr>
              <w:t>发火监测系统</w:t>
            </w:r>
            <w:r>
              <w:rPr>
                <w:rFonts w:hint="eastAsia" w:asciiTheme="majorEastAsia" w:hAnsiTheme="majorEastAsia" w:eastAsiaTheme="majorEastAsia" w:cstheme="majorEastAsia"/>
                <w:color w:val="auto"/>
                <w:kern w:val="0"/>
                <w:sz w:val="21"/>
                <w:szCs w:val="21"/>
                <w:highlight w:val="none"/>
                <w:lang w:eastAsia="zh-CN"/>
              </w:rPr>
              <w:t>，</w:t>
            </w:r>
            <w:r>
              <w:rPr>
                <w:rFonts w:hint="eastAsia" w:asciiTheme="majorEastAsia" w:hAnsiTheme="majorEastAsia" w:eastAsiaTheme="majorEastAsia" w:cstheme="majorEastAsia"/>
                <w:color w:val="auto"/>
                <w:kern w:val="0"/>
                <w:sz w:val="21"/>
                <w:szCs w:val="21"/>
                <w:highlight w:val="none"/>
                <w:lang w:val="en-US" w:eastAsia="zh-CN"/>
              </w:rPr>
              <w:t>明确采取方式及要求</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jc w:val="center"/>
        </w:trPr>
        <w:tc>
          <w:tcPr>
            <w:tcW w:w="1161"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1164" w:type="dxa"/>
            <w:vMerge w:val="continue"/>
            <w:tcBorders>
              <w:tl2br w:val="nil"/>
              <w:tr2bl w:val="nil"/>
            </w:tcBorders>
            <w:noWrap/>
            <w:vAlign w:val="center"/>
          </w:tcPr>
          <w:p>
            <w:pPr>
              <w:widowControl/>
              <w:jc w:val="center"/>
              <w:textAlignment w:val="center"/>
              <w:rPr>
                <w:rFonts w:hint="eastAsia" w:asciiTheme="majorEastAsia" w:hAnsiTheme="majorEastAsia" w:eastAsiaTheme="majorEastAsia" w:cstheme="majorEastAsia"/>
                <w:kern w:val="0"/>
                <w:sz w:val="21"/>
                <w:szCs w:val="21"/>
                <w:highlight w:val="none"/>
              </w:rPr>
            </w:pPr>
          </w:p>
        </w:tc>
        <w:tc>
          <w:tcPr>
            <w:tcW w:w="4487" w:type="dxa"/>
            <w:tcBorders>
              <w:tl2br w:val="nil"/>
              <w:tr2bl w:val="nil"/>
            </w:tcBorders>
            <w:vAlign w:val="center"/>
          </w:tcPr>
          <w:p>
            <w:pP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内因火灾防治：</w:t>
            </w:r>
          </w:p>
          <w:p>
            <w:pPr>
              <w:widowControl/>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1.开采自燃、容易自燃的煤层，按规定编制防止自然发火的技术措施，并严格执行；</w:t>
            </w:r>
          </w:p>
          <w:p>
            <w:pPr>
              <w:widowControl/>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2.开采容易自燃和自燃煤层矿井，</w:t>
            </w:r>
            <w:r>
              <w:rPr>
                <w:rFonts w:hint="eastAsia" w:asciiTheme="majorEastAsia" w:hAnsiTheme="majorEastAsia" w:eastAsiaTheme="majorEastAsia" w:cstheme="majorEastAsia"/>
                <w:color w:val="0000FF"/>
                <w:kern w:val="0"/>
                <w:sz w:val="21"/>
                <w:szCs w:val="21"/>
                <w:highlight w:val="none"/>
              </w:rPr>
              <w:t>封闭采空区</w:t>
            </w:r>
            <w:r>
              <w:rPr>
                <w:rFonts w:hint="eastAsia" w:asciiTheme="majorEastAsia" w:hAnsiTheme="majorEastAsia" w:eastAsiaTheme="majorEastAsia" w:cstheme="majorEastAsia"/>
                <w:kern w:val="0"/>
                <w:sz w:val="21"/>
                <w:szCs w:val="21"/>
                <w:highlight w:val="none"/>
              </w:rPr>
              <w:t>构筑不少于</w:t>
            </w:r>
            <w:r>
              <w:rPr>
                <w:rFonts w:hint="eastAsia" w:asciiTheme="majorEastAsia" w:hAnsiTheme="majorEastAsia" w:eastAsiaTheme="majorEastAsia" w:cstheme="majorEastAsia"/>
                <w:color w:val="0000FF"/>
                <w:kern w:val="0"/>
                <w:sz w:val="21"/>
                <w:szCs w:val="21"/>
                <w:highlight w:val="none"/>
              </w:rPr>
              <w:t>2道永久密闭墙</w:t>
            </w:r>
            <w:r>
              <w:rPr>
                <w:rFonts w:hint="eastAsia" w:asciiTheme="majorEastAsia" w:hAnsiTheme="majorEastAsia" w:eastAsiaTheme="majorEastAsia" w:cstheme="majorEastAsia"/>
                <w:kern w:val="0"/>
                <w:sz w:val="21"/>
                <w:szCs w:val="21"/>
                <w:highlight w:val="none"/>
              </w:rPr>
              <w:t>，墙体</w:t>
            </w:r>
            <w:r>
              <w:rPr>
                <w:rFonts w:hint="eastAsia" w:asciiTheme="majorEastAsia" w:hAnsiTheme="majorEastAsia" w:eastAsiaTheme="majorEastAsia" w:cstheme="majorEastAsia"/>
                <w:color w:val="0000FF"/>
                <w:kern w:val="0"/>
                <w:sz w:val="21"/>
                <w:szCs w:val="21"/>
                <w:highlight w:val="none"/>
              </w:rPr>
              <w:t>中间</w:t>
            </w:r>
            <w:r>
              <w:rPr>
                <w:rFonts w:hint="eastAsia" w:asciiTheme="majorEastAsia" w:hAnsiTheme="majorEastAsia" w:eastAsiaTheme="majorEastAsia" w:cstheme="majorEastAsia"/>
                <w:kern w:val="0"/>
                <w:sz w:val="21"/>
                <w:szCs w:val="21"/>
                <w:highlight w:val="none"/>
              </w:rPr>
              <w:t>采用不燃性材料进行</w:t>
            </w:r>
            <w:r>
              <w:rPr>
                <w:rFonts w:hint="eastAsia" w:asciiTheme="majorEastAsia" w:hAnsiTheme="majorEastAsia" w:eastAsiaTheme="majorEastAsia" w:cstheme="majorEastAsia"/>
                <w:color w:val="0000FF"/>
                <w:kern w:val="0"/>
                <w:sz w:val="21"/>
                <w:szCs w:val="21"/>
                <w:highlight w:val="none"/>
              </w:rPr>
              <w:t>充填</w:t>
            </w:r>
            <w:r>
              <w:rPr>
                <w:rFonts w:hint="eastAsia" w:asciiTheme="majorEastAsia" w:hAnsiTheme="majorEastAsia" w:eastAsiaTheme="majorEastAsia" w:cstheme="majorEastAsia"/>
                <w:kern w:val="0"/>
                <w:sz w:val="21"/>
                <w:szCs w:val="21"/>
                <w:highlight w:val="none"/>
              </w:rPr>
              <w:t>。</w:t>
            </w:r>
            <w:r>
              <w:rPr>
                <w:rFonts w:hint="eastAsia" w:asciiTheme="majorEastAsia" w:hAnsiTheme="majorEastAsia" w:eastAsiaTheme="majorEastAsia" w:cstheme="majorEastAsia"/>
                <w:color w:val="0000FF"/>
                <w:kern w:val="0"/>
                <w:sz w:val="21"/>
                <w:szCs w:val="21"/>
                <w:highlight w:val="none"/>
              </w:rPr>
              <w:t>编制密闭施工设计及专项技术措施</w:t>
            </w:r>
            <w:r>
              <w:rPr>
                <w:rFonts w:hint="eastAsia" w:asciiTheme="majorEastAsia" w:hAnsiTheme="majorEastAsia" w:eastAsiaTheme="majorEastAsia" w:cstheme="majorEastAsia"/>
                <w:kern w:val="0"/>
                <w:sz w:val="21"/>
                <w:szCs w:val="21"/>
                <w:highlight w:val="none"/>
              </w:rPr>
              <w:t>，</w:t>
            </w:r>
            <w:r>
              <w:rPr>
                <w:rFonts w:hint="eastAsia" w:asciiTheme="majorEastAsia" w:hAnsiTheme="majorEastAsia" w:eastAsiaTheme="majorEastAsia" w:cstheme="majorEastAsia"/>
                <w:sz w:val="21"/>
                <w:szCs w:val="21"/>
                <w:highlight w:val="none"/>
              </w:rPr>
              <w:t>封闭采空区</w:t>
            </w:r>
            <w:r>
              <w:rPr>
                <w:rFonts w:hint="eastAsia" w:asciiTheme="majorEastAsia" w:hAnsiTheme="majorEastAsia" w:eastAsiaTheme="majorEastAsia" w:cstheme="majorEastAsia"/>
                <w:color w:val="0000FF"/>
                <w:sz w:val="21"/>
                <w:szCs w:val="21"/>
                <w:highlight w:val="none"/>
              </w:rPr>
              <w:t>每周1次抽取气样进行分析</w:t>
            </w:r>
            <w:r>
              <w:rPr>
                <w:rFonts w:hint="eastAsia" w:asciiTheme="majorEastAsia" w:hAnsiTheme="majorEastAsia" w:eastAsiaTheme="majorEastAsia" w:cstheme="majorEastAsia"/>
                <w:sz w:val="21"/>
                <w:szCs w:val="21"/>
                <w:highlight w:val="none"/>
              </w:rPr>
              <w:t>，并</w:t>
            </w:r>
            <w:r>
              <w:rPr>
                <w:rFonts w:hint="eastAsia" w:asciiTheme="majorEastAsia" w:hAnsiTheme="majorEastAsia" w:eastAsiaTheme="majorEastAsia" w:cstheme="majorEastAsia"/>
                <w:color w:val="0000FF"/>
                <w:sz w:val="21"/>
                <w:szCs w:val="21"/>
                <w:highlight w:val="none"/>
              </w:rPr>
              <w:t>监测温度及采空区内外压差</w:t>
            </w:r>
          </w:p>
        </w:tc>
        <w:tc>
          <w:tcPr>
            <w:tcW w:w="4062" w:type="dxa"/>
            <w:tcBorders>
              <w:tl2br w:val="nil"/>
              <w:tr2bl w:val="nil"/>
            </w:tcBorders>
            <w:vAlign w:val="center"/>
          </w:tcPr>
          <w:p>
            <w:pPr>
              <w:widowControl/>
              <w:jc w:val="left"/>
              <w:textAlignment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lang w:val="en-US" w:eastAsia="zh-CN" w:bidi="ar-SA"/>
              </w:rPr>
              <w:t>及时封闭与采空区连通的巷道及各类废弃钻孔；采煤工作面回采结束后45天内进行永久性封闭</w:t>
            </w:r>
          </w:p>
        </w:tc>
        <w:tc>
          <w:tcPr>
            <w:tcW w:w="2844" w:type="dxa"/>
            <w:tcBorders>
              <w:tl2br w:val="nil"/>
              <w:tr2bl w:val="nil"/>
            </w:tcBorders>
            <w:vAlign w:val="center"/>
          </w:tcPr>
          <w:p>
            <w:pPr>
              <w:widowControl/>
              <w:textAlignment w:val="center"/>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新增明确</w:t>
            </w:r>
            <w:r>
              <w:rPr>
                <w:rFonts w:hint="eastAsia" w:asciiTheme="majorEastAsia" w:hAnsiTheme="majorEastAsia" w:eastAsiaTheme="majorEastAsia" w:cstheme="majorEastAsia"/>
                <w:color w:val="auto"/>
                <w:kern w:val="0"/>
                <w:sz w:val="21"/>
                <w:szCs w:val="21"/>
                <w:highlight w:val="none"/>
              </w:rPr>
              <w:t>封闭采空区构筑永久密闭墙</w:t>
            </w:r>
            <w:r>
              <w:rPr>
                <w:rFonts w:hint="eastAsia" w:asciiTheme="majorEastAsia" w:hAnsiTheme="majorEastAsia" w:eastAsiaTheme="majorEastAsia" w:cstheme="majorEastAsia"/>
                <w:color w:val="auto"/>
                <w:kern w:val="0"/>
                <w:sz w:val="21"/>
                <w:szCs w:val="21"/>
                <w:highlight w:val="none"/>
                <w:lang w:val="en-US" w:eastAsia="zh-CN"/>
              </w:rPr>
              <w:t>及检查气体等相关要求，并编制设计及专项技术措施。</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050" w:hRule="atLeast"/>
          <w:jc w:val="center"/>
        </w:trPr>
        <w:tc>
          <w:tcPr>
            <w:tcW w:w="1161"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1164" w:type="dxa"/>
            <w:vMerge w:val="continue"/>
            <w:tcBorders>
              <w:tl2br w:val="nil"/>
              <w:tr2bl w:val="nil"/>
            </w:tcBorders>
            <w:noWrap/>
            <w:vAlign w:val="center"/>
          </w:tcPr>
          <w:p>
            <w:pPr>
              <w:widowControl/>
              <w:jc w:val="center"/>
              <w:textAlignment w:val="center"/>
              <w:rPr>
                <w:rFonts w:hint="eastAsia" w:asciiTheme="majorEastAsia" w:hAnsiTheme="majorEastAsia" w:eastAsiaTheme="majorEastAsia" w:cstheme="majorEastAsia"/>
                <w:kern w:val="0"/>
                <w:sz w:val="21"/>
                <w:szCs w:val="21"/>
                <w:highlight w:val="none"/>
              </w:rPr>
            </w:pPr>
          </w:p>
        </w:tc>
        <w:tc>
          <w:tcPr>
            <w:tcW w:w="4487" w:type="dxa"/>
            <w:tcBorders>
              <w:tl2br w:val="nil"/>
              <w:tr2bl w:val="nil"/>
            </w:tcBorders>
            <w:vAlign w:val="center"/>
          </w:tcPr>
          <w:p>
            <w:pPr>
              <w:widowControl/>
              <w:textAlignment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外因火灾防治：</w:t>
            </w:r>
          </w:p>
          <w:p>
            <w:pPr>
              <w:widowControl/>
              <w:textAlignment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1.井下</w:t>
            </w:r>
            <w:r>
              <w:rPr>
                <w:rFonts w:hint="eastAsia" w:asciiTheme="majorEastAsia" w:hAnsiTheme="majorEastAsia" w:eastAsiaTheme="majorEastAsia" w:cstheme="majorEastAsia"/>
                <w:color w:val="0000FF"/>
                <w:kern w:val="0"/>
                <w:sz w:val="21"/>
                <w:szCs w:val="21"/>
                <w:highlight w:val="none"/>
              </w:rPr>
              <w:t>反应型高分子材料</w:t>
            </w:r>
            <w:r>
              <w:rPr>
                <w:rFonts w:hint="eastAsia" w:asciiTheme="majorEastAsia" w:hAnsiTheme="majorEastAsia" w:eastAsiaTheme="majorEastAsia" w:cstheme="majorEastAsia"/>
                <w:kern w:val="0"/>
                <w:sz w:val="21"/>
                <w:szCs w:val="21"/>
                <w:highlight w:val="none"/>
              </w:rPr>
              <w:t>使用前对其安全性</w:t>
            </w:r>
            <w:r>
              <w:rPr>
                <w:rFonts w:hint="eastAsia" w:asciiTheme="majorEastAsia" w:hAnsiTheme="majorEastAsia" w:eastAsiaTheme="majorEastAsia" w:cstheme="majorEastAsia"/>
                <w:color w:val="0000FF"/>
                <w:kern w:val="0"/>
                <w:sz w:val="21"/>
                <w:szCs w:val="21"/>
                <w:highlight w:val="none"/>
              </w:rPr>
              <w:t>进行评估</w:t>
            </w:r>
            <w:r>
              <w:rPr>
                <w:rFonts w:hint="eastAsia" w:asciiTheme="majorEastAsia" w:hAnsiTheme="majorEastAsia" w:eastAsiaTheme="majorEastAsia" w:cstheme="majorEastAsia"/>
                <w:kern w:val="0"/>
                <w:sz w:val="21"/>
                <w:szCs w:val="21"/>
                <w:highlight w:val="none"/>
              </w:rPr>
              <w:t>，并制定专项</w:t>
            </w:r>
            <w:r>
              <w:rPr>
                <w:rFonts w:hint="eastAsia" w:asciiTheme="majorEastAsia" w:hAnsiTheme="majorEastAsia" w:eastAsiaTheme="majorEastAsia" w:cstheme="majorEastAsia"/>
                <w:color w:val="0000FF"/>
                <w:kern w:val="0"/>
                <w:sz w:val="21"/>
                <w:szCs w:val="21"/>
                <w:highlight w:val="none"/>
              </w:rPr>
              <w:t>安全措施</w:t>
            </w:r>
            <w:r>
              <w:rPr>
                <w:rFonts w:hint="eastAsia" w:asciiTheme="majorEastAsia" w:hAnsiTheme="majorEastAsia" w:eastAsiaTheme="majorEastAsia" w:cstheme="majorEastAsia"/>
                <w:kern w:val="0"/>
                <w:sz w:val="21"/>
                <w:szCs w:val="21"/>
                <w:highlight w:val="none"/>
              </w:rPr>
              <w:t>；</w:t>
            </w:r>
          </w:p>
          <w:p>
            <w:pPr>
              <w:widowControl/>
              <w:textAlignment w:val="center"/>
              <w:rPr>
                <w:rFonts w:hint="eastAsia" w:asciiTheme="majorEastAsia" w:hAnsiTheme="majorEastAsia" w:eastAsiaTheme="majorEastAsia" w:cstheme="majorEastAsia"/>
                <w:kern w:val="0"/>
                <w:sz w:val="21"/>
                <w:szCs w:val="21"/>
                <w:highlight w:val="none"/>
                <w:lang w:eastAsia="zh-CN"/>
              </w:rPr>
            </w:pPr>
            <w:r>
              <w:rPr>
                <w:rFonts w:hint="eastAsia" w:asciiTheme="majorEastAsia" w:hAnsiTheme="majorEastAsia" w:eastAsiaTheme="majorEastAsia" w:cstheme="majorEastAsia"/>
                <w:kern w:val="0"/>
                <w:sz w:val="21"/>
                <w:szCs w:val="21"/>
                <w:highlight w:val="none"/>
              </w:rPr>
              <w:t>2.井下和井口房内不得进行电焊、气焊和喷灯焊接等动火作业。如果必须在井下主要硐室、主要进风井巷和井口房内进行电焊、气焊和喷灯焊接等动火</w:t>
            </w:r>
            <w:r>
              <w:rPr>
                <w:rFonts w:hint="eastAsia" w:asciiTheme="majorEastAsia" w:hAnsiTheme="majorEastAsia" w:eastAsiaTheme="majorEastAsia" w:cstheme="majorEastAsia"/>
                <w:color w:val="auto"/>
                <w:kern w:val="0"/>
                <w:sz w:val="21"/>
                <w:szCs w:val="21"/>
                <w:highlight w:val="none"/>
              </w:rPr>
              <w:t>作业，每次要制定安全措施，经矿长批准</w:t>
            </w:r>
            <w:r>
              <w:rPr>
                <w:rFonts w:hint="eastAsia" w:asciiTheme="majorEastAsia" w:hAnsiTheme="majorEastAsia" w:eastAsiaTheme="majorEastAsia" w:cstheme="majorEastAsia"/>
                <w:color w:val="auto"/>
                <w:kern w:val="0"/>
                <w:sz w:val="21"/>
                <w:szCs w:val="21"/>
                <w:highlight w:val="none"/>
                <w:lang w:eastAsia="zh-CN"/>
              </w:rPr>
              <w:t>。</w:t>
            </w:r>
          </w:p>
        </w:tc>
        <w:tc>
          <w:tcPr>
            <w:tcW w:w="4062" w:type="dxa"/>
            <w:tcBorders>
              <w:tl2br w:val="nil"/>
              <w:tr2bl w:val="nil"/>
            </w:tcBorders>
            <w:vAlign w:val="center"/>
          </w:tcPr>
          <w:p>
            <w:pPr>
              <w:pStyle w:val="11"/>
              <w:rPr>
                <w:rFonts w:hint="eastAsia" w:asciiTheme="majorEastAsia" w:hAnsiTheme="majorEastAsia" w:eastAsiaTheme="majorEastAsia" w:cstheme="majorEastAsia"/>
                <w:kern w:val="0"/>
                <w:sz w:val="21"/>
                <w:szCs w:val="21"/>
                <w:highlight w:val="none"/>
                <w:lang w:eastAsia="zh-CN"/>
              </w:rPr>
            </w:pPr>
            <w:r>
              <w:rPr>
                <w:rFonts w:hint="eastAsia" w:asciiTheme="majorEastAsia" w:hAnsiTheme="majorEastAsia" w:eastAsiaTheme="majorEastAsia" w:cstheme="majorEastAsia"/>
                <w:kern w:val="0"/>
                <w:sz w:val="21"/>
                <w:szCs w:val="21"/>
                <w:highlight w:val="none"/>
              </w:rPr>
              <w:t>3.井下易燃物存放符合规定，进行电焊、气焊和喷灯焊接等作业符合《煤矿安全规程》规定，每次焊接制定安全措施，经矿长批准，并严格执行</w:t>
            </w:r>
            <w:r>
              <w:rPr>
                <w:rFonts w:hint="eastAsia" w:asciiTheme="majorEastAsia" w:hAnsiTheme="majorEastAsia" w:eastAsiaTheme="majorEastAsia" w:cstheme="majorEastAsia"/>
                <w:kern w:val="0"/>
                <w:sz w:val="21"/>
                <w:szCs w:val="21"/>
                <w:highlight w:val="none"/>
                <w:lang w:eastAsia="zh-CN"/>
              </w:rPr>
              <w:t>。</w:t>
            </w:r>
          </w:p>
          <w:p>
            <w:pPr>
              <w:widowControl/>
              <w:jc w:val="left"/>
              <w:textAlignment w:val="center"/>
              <w:rPr>
                <w:rFonts w:hint="eastAsia" w:asciiTheme="majorEastAsia" w:hAnsiTheme="majorEastAsia" w:eastAsiaTheme="majorEastAsia" w:cstheme="majorEastAsia"/>
                <w:kern w:val="0"/>
                <w:sz w:val="21"/>
                <w:szCs w:val="21"/>
                <w:highlight w:val="none"/>
              </w:rPr>
            </w:pPr>
          </w:p>
        </w:tc>
        <w:tc>
          <w:tcPr>
            <w:tcW w:w="2844" w:type="dxa"/>
            <w:tcBorders>
              <w:tl2br w:val="nil"/>
              <w:tr2bl w:val="nil"/>
            </w:tcBorders>
            <w:vAlign w:val="center"/>
          </w:tcPr>
          <w:p>
            <w:pPr>
              <w:widowControl/>
              <w:jc w:val="left"/>
              <w:textAlignment w:val="center"/>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新增第1条</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2175" w:hRule="atLeast"/>
          <w:jc w:val="center"/>
        </w:trPr>
        <w:tc>
          <w:tcPr>
            <w:tcW w:w="1161" w:type="dxa"/>
            <w:tcBorders>
              <w:tl2br w:val="nil"/>
              <w:tr2bl w:val="nil"/>
            </w:tcBorders>
            <w:textDirection w:val="tbRlV"/>
            <w:vAlign w:val="center"/>
          </w:tcPr>
          <w:p>
            <w:pPr>
              <w:adjustRightInd w:val="0"/>
              <w:snapToGrid w:val="0"/>
              <w:jc w:val="center"/>
              <w:rPr>
                <w:rFonts w:hint="eastAsia" w:asciiTheme="majorEastAsia" w:hAnsiTheme="majorEastAsia" w:eastAsiaTheme="majorEastAsia" w:cstheme="majorEastAsia"/>
                <w:sz w:val="21"/>
                <w:szCs w:val="21"/>
                <w:highlight w:val="none"/>
              </w:rPr>
            </w:pPr>
          </w:p>
        </w:tc>
        <w:tc>
          <w:tcPr>
            <w:tcW w:w="116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both"/>
              <w:textAlignment w:val="center"/>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rPr>
              <w:t>防治水害事故（15分）</w:t>
            </w:r>
          </w:p>
        </w:tc>
        <w:tc>
          <w:tcPr>
            <w:tcW w:w="448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both"/>
              <w:outlineLvl w:val="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制度保障：</w:t>
            </w:r>
          </w:p>
          <w:p>
            <w:pPr>
              <w:keepNext w:val="0"/>
              <w:keepLines w:val="0"/>
              <w:pageBreakBefore w:val="0"/>
              <w:widowControl/>
              <w:kinsoku/>
              <w:wordWrap/>
              <w:overflowPunct/>
              <w:topLinePunct w:val="0"/>
              <w:autoSpaceDE/>
              <w:autoSpaceDN/>
              <w:bidi w:val="0"/>
              <w:adjustRightInd/>
              <w:snapToGrid/>
              <w:spacing w:line="240" w:lineRule="atLeast"/>
              <w:ind w:firstLine="0" w:firstLineChars="0"/>
              <w:jc w:val="both"/>
              <w:outlineLvl w:val="0"/>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rPr>
              <w:t>建立水害防治技术管理、水害预测预报、水害隐患排查治理、探放水、重大水患停产撤人及应急处置等制度</w:t>
            </w:r>
          </w:p>
        </w:tc>
        <w:tc>
          <w:tcPr>
            <w:tcW w:w="4062" w:type="dxa"/>
            <w:tcBorders>
              <w:tl2br w:val="nil"/>
              <w:tr2bl w:val="nil"/>
            </w:tcBorders>
            <w:vAlign w:val="center"/>
          </w:tcPr>
          <w:p>
            <w:pPr>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0" w:firstLineChars="0"/>
              <w:textAlignment w:val="auto"/>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1.按《煤矿防治水细则》要求进行水文地质观测；</w:t>
            </w:r>
          </w:p>
          <w:p>
            <w:pPr>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0" w:firstLineChars="0"/>
              <w:textAlignment w:val="auto"/>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2.开展水文地质类型划分工作，发生较大及以上水害事故或者因突水造成采掘区域或矿井被淹的，恢复生产前应重新确定；</w:t>
            </w:r>
          </w:p>
          <w:p>
            <w:pPr>
              <w:keepNext w:val="0"/>
              <w:keepLines w:val="0"/>
              <w:pageBreakBefore w:val="0"/>
              <w:kinsoku/>
              <w:wordWrap/>
              <w:overflowPunct w:val="0"/>
              <w:topLinePunct w:val="0"/>
              <w:autoSpaceDE/>
              <w:autoSpaceDN/>
              <w:bidi w:val="0"/>
              <w:adjustRightInd w:val="0"/>
              <w:snapToGrid w:val="0"/>
              <w:spacing w:line="240" w:lineRule="atLeast"/>
              <w:ind w:left="0" w:leftChars="0" w:right="0" w:rightChars="0" w:firstLine="0" w:firstLineChars="0"/>
              <w:textAlignment w:val="auto"/>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3.对井田范围内及周边矿井采空区位置和积水情况进行调查分析并做好记录</w:t>
            </w:r>
            <w:r>
              <w:rPr>
                <w:rFonts w:hint="eastAsia" w:asciiTheme="majorEastAsia" w:hAnsiTheme="majorEastAsia" w:eastAsiaTheme="majorEastAsia" w:cstheme="majorEastAsia"/>
                <w:sz w:val="21"/>
                <w:szCs w:val="21"/>
                <w:highlight w:val="none"/>
              </w:rPr>
              <w:t>，</w:t>
            </w:r>
            <w:r>
              <w:rPr>
                <w:rFonts w:hint="eastAsia" w:asciiTheme="majorEastAsia" w:hAnsiTheme="majorEastAsia" w:eastAsiaTheme="majorEastAsia" w:cstheme="majorEastAsia"/>
                <w:kern w:val="0"/>
                <w:sz w:val="21"/>
                <w:szCs w:val="21"/>
                <w:highlight w:val="none"/>
              </w:rPr>
              <w:t>制定相应的安全技术措施，对受老空水影响的煤层按规定划分</w:t>
            </w:r>
            <w:r>
              <w:rPr>
                <w:rFonts w:hint="eastAsia" w:asciiTheme="majorEastAsia" w:hAnsiTheme="majorEastAsia" w:eastAsiaTheme="majorEastAsia" w:cstheme="majorEastAsia"/>
                <w:sz w:val="21"/>
                <w:szCs w:val="21"/>
                <w:highlight w:val="none"/>
              </w:rPr>
              <w:t>可采区、缓采区、禁采区</w:t>
            </w:r>
            <w:r>
              <w:rPr>
                <w:rFonts w:hint="eastAsia" w:asciiTheme="majorEastAsia" w:hAnsiTheme="majorEastAsia" w:eastAsiaTheme="majorEastAsia" w:cstheme="majorEastAsia"/>
                <w:kern w:val="0"/>
                <w:sz w:val="21"/>
                <w:szCs w:val="21"/>
                <w:highlight w:val="none"/>
              </w:rPr>
              <w:t>；</w:t>
            </w:r>
          </w:p>
          <w:p>
            <w:pPr>
              <w:keepNext w:val="0"/>
              <w:keepLines w:val="0"/>
              <w:pageBreakBefore w:val="0"/>
              <w:kinsoku/>
              <w:wordWrap/>
              <w:overflowPunct w:val="0"/>
              <w:topLinePunct w:val="0"/>
              <w:autoSpaceDE/>
              <w:autoSpaceDN/>
              <w:bidi w:val="0"/>
              <w:adjustRightInd w:val="0"/>
              <w:snapToGrid w:val="0"/>
              <w:spacing w:line="240" w:lineRule="atLeast"/>
              <w:ind w:left="0" w:leftChars="0" w:right="0" w:rightChars="0" w:firstLine="0" w:firstLineChars="0"/>
              <w:textAlignment w:val="auto"/>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4.按照《煤矿防治水细则》要求进行矿井水文地质补充勘探，有可靠的安全技术措施，按规定编制补充勘探设计，有补充勘探报告和相关成果，由企业总工程师对设计进行审批、对报告和成果组织评审；</w:t>
            </w:r>
          </w:p>
          <w:p>
            <w:pPr>
              <w:keepNext w:val="0"/>
              <w:keepLines w:val="0"/>
              <w:pageBreakBefore w:val="0"/>
              <w:kinsoku/>
              <w:wordWrap/>
              <w:overflowPunct w:val="0"/>
              <w:topLinePunct w:val="0"/>
              <w:autoSpaceDE/>
              <w:autoSpaceDN/>
              <w:bidi w:val="0"/>
              <w:adjustRightInd w:val="0"/>
              <w:snapToGrid w:val="0"/>
              <w:spacing w:line="240" w:lineRule="atLeast"/>
              <w:ind w:left="0" w:leftChars="0" w:right="0" w:rightChars="0" w:firstLine="0" w:firstLineChars="0"/>
              <w:textAlignment w:val="auto"/>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rPr>
              <w:t>5.按《煤矿防治水细则》要求建立健全水害防治技术管理制度、水害隐患排查治理制度、探放水制度、重大水患停产撤人制度</w:t>
            </w:r>
          </w:p>
        </w:tc>
        <w:tc>
          <w:tcPr>
            <w:tcW w:w="2844" w:type="dxa"/>
            <w:tcBorders>
              <w:tl2br w:val="nil"/>
              <w:tr2bl w:val="nil"/>
            </w:tcBorders>
            <w:vAlign w:val="center"/>
          </w:tcPr>
          <w:p>
            <w:pPr>
              <w:keepNext w:val="0"/>
              <w:keepLines w:val="0"/>
              <w:pageBreakBefore w:val="0"/>
              <w:kinsoku/>
              <w:wordWrap/>
              <w:overflowPunct w:val="0"/>
              <w:topLinePunct w:val="0"/>
              <w:autoSpaceDE/>
              <w:autoSpaceDN/>
              <w:bidi w:val="0"/>
              <w:adjustRightInd w:val="0"/>
              <w:snapToGrid w:val="0"/>
              <w:spacing w:line="240" w:lineRule="atLeast"/>
              <w:ind w:left="0" w:leftChars="0" w:right="0" w:rightChars="0" w:firstLine="0" w:firstLineChars="0"/>
              <w:textAlignment w:val="auto"/>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rPr>
              <w:t>新增重大灾害防治，防治水害事故。</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2147" w:hRule="atLeast"/>
          <w:jc w:val="center"/>
        </w:trPr>
        <w:tc>
          <w:tcPr>
            <w:tcW w:w="1161" w:type="dxa"/>
          </w:tcPr>
          <w:p>
            <w:pPr>
              <w:adjustRightInd w:val="0"/>
              <w:snapToGrid w:val="0"/>
              <w:jc w:val="center"/>
              <w:rPr>
                <w:rFonts w:hint="eastAsia" w:asciiTheme="majorEastAsia" w:hAnsiTheme="majorEastAsia" w:eastAsiaTheme="majorEastAsia" w:cstheme="majorEastAsia"/>
                <w:sz w:val="21"/>
                <w:szCs w:val="21"/>
                <w:highlight w:val="none"/>
              </w:rPr>
            </w:pPr>
          </w:p>
        </w:tc>
        <w:tc>
          <w:tcPr>
            <w:tcW w:w="1164" w:type="dxa"/>
          </w:tcPr>
          <w:p>
            <w:pPr>
              <w:adjustRightInd w:val="0"/>
              <w:snapToGrid w:val="0"/>
              <w:jc w:val="center"/>
              <w:rPr>
                <w:rFonts w:hint="eastAsia" w:asciiTheme="majorEastAsia" w:hAnsiTheme="majorEastAsia" w:eastAsiaTheme="majorEastAsia" w:cstheme="majorEastAsia"/>
                <w:kern w:val="0"/>
                <w:sz w:val="21"/>
                <w:szCs w:val="21"/>
                <w:highlight w:val="none"/>
              </w:rPr>
            </w:pPr>
          </w:p>
        </w:tc>
        <w:tc>
          <w:tcPr>
            <w:tcW w:w="4487" w:type="dxa"/>
          </w:tcPr>
          <w:p>
            <w:pPr>
              <w:widowControl/>
              <w:adjustRightInd w:val="0"/>
              <w:snapToGrid w:val="0"/>
              <w:spacing w:line="280" w:lineRule="exact"/>
              <w:rPr>
                <w:rFonts w:hint="eastAsia" w:asciiTheme="majorEastAsia" w:hAnsiTheme="majorEastAsia" w:eastAsiaTheme="majorEastAsia" w:cstheme="majorEastAsia"/>
                <w:kern w:val="0"/>
                <w:sz w:val="21"/>
                <w:szCs w:val="21"/>
                <w:highlight w:val="none"/>
              </w:rPr>
            </w:pPr>
          </w:p>
        </w:tc>
        <w:tc>
          <w:tcPr>
            <w:tcW w:w="4062" w:type="dxa"/>
            <w:vAlign w:val="center"/>
          </w:tcPr>
          <w:p>
            <w:pPr>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0" w:firstLineChars="0"/>
              <w:jc w:val="left"/>
              <w:textAlignment w:val="auto"/>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1.有井上、下和不同观测内容的专用原始记录本，记录规范，保存完好；</w:t>
            </w:r>
          </w:p>
          <w:p>
            <w:pPr>
              <w:keepNext w:val="0"/>
              <w:keepLines w:val="0"/>
              <w:pageBreakBefore w:val="0"/>
              <w:kinsoku/>
              <w:wordWrap/>
              <w:overflowPunct w:val="0"/>
              <w:topLinePunct w:val="0"/>
              <w:autoSpaceDE/>
              <w:autoSpaceDN/>
              <w:bidi w:val="0"/>
              <w:adjustRightInd w:val="0"/>
              <w:snapToGrid w:val="0"/>
              <w:spacing w:line="240" w:lineRule="atLeast"/>
              <w:ind w:left="0" w:leftChars="0" w:right="0" w:rightChars="0" w:firstLine="0" w:firstLineChars="0"/>
              <w:jc w:val="left"/>
              <w:textAlignment w:val="auto"/>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2.按《煤矿防治水细则》要求编制矿井水文地质类型划分报告、水文地质补充勘探报告，按规定修编、审批；</w:t>
            </w:r>
          </w:p>
          <w:p>
            <w:pPr>
              <w:keepNext w:val="0"/>
              <w:keepLines w:val="0"/>
              <w:pageBreakBefore w:val="0"/>
              <w:kinsoku/>
              <w:wordWrap/>
              <w:overflowPunct w:val="0"/>
              <w:topLinePunct w:val="0"/>
              <w:autoSpaceDE/>
              <w:autoSpaceDN/>
              <w:bidi w:val="0"/>
              <w:adjustRightInd w:val="0"/>
              <w:snapToGrid w:val="0"/>
              <w:spacing w:line="240" w:lineRule="atLeast"/>
              <w:ind w:left="0" w:leftChars="0" w:right="0" w:rightChars="0" w:firstLine="0" w:firstLineChars="0"/>
              <w:jc w:val="left"/>
              <w:textAlignment w:val="auto"/>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rPr>
              <w:t>3.建立防治水电子基础台账，并至少每半年修正1次</w:t>
            </w:r>
          </w:p>
        </w:tc>
        <w:tc>
          <w:tcPr>
            <w:tcW w:w="2844" w:type="dxa"/>
          </w:tcPr>
          <w:p>
            <w:pPr>
              <w:widowControl/>
              <w:adjustRightInd w:val="0"/>
              <w:snapToGrid w:val="0"/>
              <w:spacing w:line="280" w:lineRule="exact"/>
              <w:rPr>
                <w:rFonts w:hint="eastAsia" w:asciiTheme="majorEastAsia" w:hAnsiTheme="majorEastAsia" w:eastAsiaTheme="majorEastAsia" w:cstheme="majorEastAsia"/>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2801" w:hRule="atLeast"/>
          <w:jc w:val="center"/>
        </w:trPr>
        <w:tc>
          <w:tcPr>
            <w:tcW w:w="1161" w:type="dxa"/>
          </w:tcPr>
          <w:p>
            <w:pPr>
              <w:adjustRightInd w:val="0"/>
              <w:snapToGrid w:val="0"/>
              <w:jc w:val="center"/>
              <w:rPr>
                <w:rFonts w:hint="eastAsia" w:asciiTheme="majorEastAsia" w:hAnsiTheme="majorEastAsia" w:eastAsiaTheme="majorEastAsia" w:cstheme="majorEastAsia"/>
                <w:sz w:val="21"/>
                <w:szCs w:val="21"/>
                <w:highlight w:val="none"/>
              </w:rPr>
            </w:pPr>
          </w:p>
        </w:tc>
        <w:tc>
          <w:tcPr>
            <w:tcW w:w="1164" w:type="dxa"/>
          </w:tcPr>
          <w:p>
            <w:pPr>
              <w:adjustRightInd w:val="0"/>
              <w:snapToGrid w:val="0"/>
              <w:jc w:val="center"/>
              <w:rPr>
                <w:rFonts w:hint="eastAsia" w:asciiTheme="majorEastAsia" w:hAnsiTheme="majorEastAsia" w:eastAsiaTheme="majorEastAsia" w:cstheme="majorEastAsia"/>
                <w:kern w:val="0"/>
                <w:sz w:val="21"/>
                <w:szCs w:val="21"/>
                <w:highlight w:val="none"/>
              </w:rPr>
            </w:pPr>
          </w:p>
        </w:tc>
        <w:tc>
          <w:tcPr>
            <w:tcW w:w="4487" w:type="dxa"/>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both"/>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基础管理：</w:t>
            </w:r>
          </w:p>
          <w:p>
            <w:pPr>
              <w:keepNext w:val="0"/>
              <w:keepLines w:val="0"/>
              <w:pageBreakBefore w:val="0"/>
              <w:widowControl/>
              <w:kinsoku/>
              <w:wordWrap/>
              <w:overflowPunct/>
              <w:topLinePunct w:val="0"/>
              <w:autoSpaceDE/>
              <w:autoSpaceDN/>
              <w:bidi w:val="0"/>
              <w:adjustRightInd/>
              <w:snapToGrid/>
              <w:spacing w:line="240" w:lineRule="atLeast"/>
              <w:ind w:firstLine="0" w:firstLineChars="0"/>
              <w:jc w:val="both"/>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1.按规定编制水文地质类型报告、煤矿防治水“三区”管理报告，防治水“三区”转换符合规定；</w:t>
            </w:r>
          </w:p>
          <w:p>
            <w:pPr>
              <w:keepNext w:val="0"/>
              <w:keepLines w:val="0"/>
              <w:pageBreakBefore w:val="0"/>
              <w:widowControl/>
              <w:kinsoku/>
              <w:wordWrap/>
              <w:overflowPunct/>
              <w:topLinePunct w:val="0"/>
              <w:autoSpaceDE/>
              <w:autoSpaceDN/>
              <w:bidi w:val="0"/>
              <w:adjustRightInd/>
              <w:snapToGrid/>
              <w:spacing w:line="240" w:lineRule="atLeast"/>
              <w:ind w:firstLine="0" w:firstLineChars="0"/>
              <w:jc w:val="both"/>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2.按规定开展水文地质补充勘探；</w:t>
            </w:r>
          </w:p>
          <w:p>
            <w:pPr>
              <w:keepNext w:val="0"/>
              <w:keepLines w:val="0"/>
              <w:pageBreakBefore w:val="0"/>
              <w:widowControl/>
              <w:kinsoku/>
              <w:wordWrap/>
              <w:overflowPunct/>
              <w:topLinePunct w:val="0"/>
              <w:autoSpaceDE/>
              <w:autoSpaceDN/>
              <w:bidi w:val="0"/>
              <w:adjustRightInd/>
              <w:snapToGrid/>
              <w:spacing w:line="240" w:lineRule="atLeast"/>
              <w:ind w:firstLine="0" w:firstLineChars="0"/>
              <w:jc w:val="both"/>
              <w:rPr>
                <w:rFonts w:hint="eastAsia" w:asciiTheme="majorEastAsia" w:hAnsiTheme="majorEastAsia" w:eastAsiaTheme="majorEastAsia" w:cstheme="majorEastAsia"/>
                <w:b/>
                <w:bCs/>
                <w:sz w:val="21"/>
                <w:szCs w:val="21"/>
                <w:highlight w:val="none"/>
              </w:rPr>
            </w:pPr>
            <w:r>
              <w:rPr>
                <w:rFonts w:hint="eastAsia" w:asciiTheme="majorEastAsia" w:hAnsiTheme="majorEastAsia" w:eastAsiaTheme="majorEastAsia" w:cstheme="majorEastAsia"/>
                <w:kern w:val="0"/>
                <w:sz w:val="21"/>
                <w:szCs w:val="21"/>
                <w:highlight w:val="none"/>
              </w:rPr>
              <w:t>3.矿井、采区、工作面防排水系统健全完善，能力满足相关规定要求；</w:t>
            </w:r>
          </w:p>
          <w:p>
            <w:pPr>
              <w:keepNext w:val="0"/>
              <w:keepLines w:val="0"/>
              <w:pageBreakBefore w:val="0"/>
              <w:widowControl/>
              <w:kinsoku/>
              <w:wordWrap/>
              <w:overflowPunct/>
              <w:topLinePunct w:val="0"/>
              <w:autoSpaceDE/>
              <w:autoSpaceDN/>
              <w:bidi w:val="0"/>
              <w:adjustRightInd/>
              <w:snapToGrid/>
              <w:spacing w:line="240" w:lineRule="atLeast"/>
              <w:ind w:firstLine="0" w:firstLineChars="0"/>
              <w:jc w:val="both"/>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4.防治水工程实施前编制设计方案和施工安全技术措施，按程序审批，工程施工现场管理规范，并建立施工原始记录，工程结束后提交验收报告及总结报告；</w:t>
            </w:r>
          </w:p>
          <w:p>
            <w:pPr>
              <w:keepNext w:val="0"/>
              <w:keepLines w:val="0"/>
              <w:pageBreakBefore w:val="0"/>
              <w:widowControl/>
              <w:kinsoku/>
              <w:wordWrap/>
              <w:overflowPunct/>
              <w:topLinePunct w:val="0"/>
              <w:autoSpaceDE/>
              <w:autoSpaceDN/>
              <w:bidi w:val="0"/>
              <w:adjustRightInd/>
              <w:snapToGrid/>
              <w:spacing w:line="240" w:lineRule="atLeast"/>
              <w:ind w:firstLine="0" w:firstLineChars="0"/>
              <w:jc w:val="both"/>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rPr>
              <w:t>5.井下探放水严禁使用锚杆机、煤电钻等非专用钻机</w:t>
            </w:r>
          </w:p>
        </w:tc>
        <w:tc>
          <w:tcPr>
            <w:tcW w:w="4062" w:type="dxa"/>
            <w:vAlign w:val="center"/>
          </w:tcPr>
          <w:p>
            <w:pPr>
              <w:keepNext w:val="0"/>
              <w:keepLines w:val="0"/>
              <w:pageBreakBefore w:val="0"/>
              <w:kinsoku/>
              <w:wordWrap/>
              <w:overflowPunct w:val="0"/>
              <w:topLinePunct w:val="0"/>
              <w:autoSpaceDE/>
              <w:autoSpaceDN/>
              <w:bidi w:val="0"/>
              <w:adjustRightInd w:val="0"/>
              <w:snapToGrid w:val="0"/>
              <w:spacing w:line="240" w:lineRule="atLeast"/>
              <w:ind w:left="0" w:leftChars="0" w:right="0" w:rightChars="0" w:firstLine="0" w:firstLineChars="0"/>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1.绘制矿井综合水文地质图、矿井综合水文地质柱状图、矿井水文地质剖面图、矿井充水性图、矿井涌水量与各种相关因素动态曲线图等水文图件，图种齐全有电子文档，内容全面、准确；</w:t>
            </w:r>
          </w:p>
          <w:p>
            <w:pPr>
              <w:keepNext w:val="0"/>
              <w:keepLines w:val="0"/>
              <w:pageBreakBefore w:val="0"/>
              <w:kinsoku/>
              <w:wordWrap/>
              <w:overflowPunct w:val="0"/>
              <w:topLinePunct w:val="0"/>
              <w:autoSpaceDE/>
              <w:autoSpaceDN/>
              <w:bidi w:val="0"/>
              <w:adjustRightInd w:val="0"/>
              <w:snapToGrid w:val="0"/>
              <w:spacing w:line="240" w:lineRule="atLeast"/>
              <w:ind w:left="0" w:leftChars="0" w:right="0" w:rightChars="0" w:firstLine="0" w:firstLineChars="0"/>
              <w:textAlignment w:val="auto"/>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sz w:val="21"/>
                <w:szCs w:val="21"/>
                <w:highlight w:val="none"/>
              </w:rPr>
              <w:t>2.在采掘工程平面图和矿井充水性图上标绘出井巷出水点的位置及涌水量，积水的井巷及采空区范围、底板标高、积水量和水患异常区；标明井田范围内及周边采空区的积水范围、积水量、积水标高、积水线、探水线、警戒线</w:t>
            </w:r>
          </w:p>
        </w:tc>
        <w:tc>
          <w:tcPr>
            <w:tcW w:w="2844" w:type="dxa"/>
          </w:tcPr>
          <w:p>
            <w:pPr>
              <w:widowControl/>
              <w:adjustRightInd w:val="0"/>
              <w:snapToGrid w:val="0"/>
              <w:spacing w:line="280" w:lineRule="exact"/>
              <w:rPr>
                <w:rFonts w:hint="eastAsia" w:asciiTheme="majorEastAsia" w:hAnsiTheme="majorEastAsia" w:eastAsiaTheme="majorEastAsia" w:cstheme="majorEastAsia"/>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611" w:hRule="atLeast"/>
          <w:jc w:val="center"/>
        </w:trPr>
        <w:tc>
          <w:tcPr>
            <w:tcW w:w="1161" w:type="dxa"/>
          </w:tcPr>
          <w:p>
            <w:pPr>
              <w:adjustRightInd w:val="0"/>
              <w:snapToGrid w:val="0"/>
              <w:jc w:val="center"/>
              <w:rPr>
                <w:rFonts w:hint="eastAsia" w:asciiTheme="majorEastAsia" w:hAnsiTheme="majorEastAsia" w:eastAsiaTheme="majorEastAsia" w:cstheme="majorEastAsia"/>
                <w:sz w:val="21"/>
                <w:szCs w:val="21"/>
                <w:highlight w:val="none"/>
              </w:rPr>
            </w:pPr>
          </w:p>
        </w:tc>
        <w:tc>
          <w:tcPr>
            <w:tcW w:w="1164" w:type="dxa"/>
          </w:tcPr>
          <w:p>
            <w:pPr>
              <w:adjustRightInd w:val="0"/>
              <w:snapToGrid w:val="0"/>
              <w:jc w:val="center"/>
              <w:rPr>
                <w:rFonts w:hint="eastAsia" w:asciiTheme="majorEastAsia" w:hAnsiTheme="majorEastAsia" w:eastAsiaTheme="majorEastAsia" w:cstheme="majorEastAsia"/>
                <w:kern w:val="0"/>
                <w:sz w:val="21"/>
                <w:szCs w:val="21"/>
                <w:highlight w:val="none"/>
              </w:rPr>
            </w:pPr>
          </w:p>
        </w:tc>
        <w:tc>
          <w:tcPr>
            <w:tcW w:w="4487" w:type="dxa"/>
          </w:tcPr>
          <w:p>
            <w:pPr>
              <w:widowControl/>
              <w:adjustRightInd w:val="0"/>
              <w:snapToGrid w:val="0"/>
              <w:spacing w:line="280" w:lineRule="exact"/>
              <w:rPr>
                <w:rFonts w:hint="eastAsia" w:asciiTheme="majorEastAsia" w:hAnsiTheme="majorEastAsia" w:eastAsiaTheme="majorEastAsia" w:cstheme="majorEastAsia"/>
                <w:kern w:val="0"/>
                <w:sz w:val="21"/>
                <w:szCs w:val="21"/>
                <w:highlight w:val="none"/>
              </w:rPr>
            </w:pPr>
          </w:p>
        </w:tc>
        <w:tc>
          <w:tcPr>
            <w:tcW w:w="4062" w:type="dxa"/>
            <w:vAlign w:val="center"/>
          </w:tcPr>
          <w:p>
            <w:pPr>
              <w:keepNext w:val="0"/>
              <w:keepLines w:val="0"/>
              <w:pageBreakBefore w:val="0"/>
              <w:kinsoku/>
              <w:wordWrap/>
              <w:overflowPunct w:val="0"/>
              <w:topLinePunct w:val="0"/>
              <w:autoSpaceDE/>
              <w:autoSpaceDN/>
              <w:bidi w:val="0"/>
              <w:adjustRightInd w:val="0"/>
              <w:snapToGrid w:val="0"/>
              <w:spacing w:line="240" w:lineRule="atLeast"/>
              <w:ind w:left="0" w:leftChars="0" w:right="0" w:rightChars="0" w:firstLine="0" w:firstLineChars="0"/>
              <w:textAlignment w:val="auto"/>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1.年报、月报、临时预报应包含突水危险性评价和水害处理意见等内容，预报内容齐全、下达及时；</w:t>
            </w:r>
          </w:p>
          <w:p>
            <w:pPr>
              <w:keepNext w:val="0"/>
              <w:keepLines w:val="0"/>
              <w:pageBreakBefore w:val="0"/>
              <w:kinsoku/>
              <w:wordWrap/>
              <w:overflowPunct w:val="0"/>
              <w:topLinePunct w:val="0"/>
              <w:autoSpaceDE/>
              <w:autoSpaceDN/>
              <w:bidi w:val="0"/>
              <w:adjustRightInd w:val="0"/>
              <w:snapToGrid w:val="0"/>
              <w:spacing w:line="240" w:lineRule="atLeast"/>
              <w:ind w:left="0" w:leftChars="0" w:right="0" w:rightChars="0" w:firstLine="0" w:firstLineChars="0"/>
              <w:textAlignment w:val="auto"/>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2.在水害威胁区域掘进前，应查清水文地质条件，提出水文地质情况分析报告和水害防治措施，由煤矿总工程师组织生产、安全、地测等有关部门审批；</w:t>
            </w:r>
          </w:p>
          <w:p>
            <w:pPr>
              <w:keepNext w:val="0"/>
              <w:keepLines w:val="0"/>
              <w:pageBreakBefore w:val="0"/>
              <w:kinsoku/>
              <w:wordWrap/>
              <w:overflowPunct w:val="0"/>
              <w:topLinePunct w:val="0"/>
              <w:autoSpaceDE/>
              <w:autoSpaceDN/>
              <w:bidi w:val="0"/>
              <w:adjustRightInd w:val="0"/>
              <w:snapToGrid w:val="0"/>
              <w:spacing w:line="240" w:lineRule="atLeast"/>
              <w:ind w:left="0" w:leftChars="0" w:right="0" w:rightChars="0" w:firstLine="0" w:firstLineChars="0"/>
              <w:textAlignment w:val="auto"/>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3.工作面回采前，应提出专门水文地质情况评价报告和水害隐患治理情况分析报告，经煤矿总工程师组织生产、安全、地测等有关部门审批；发现断层、裂隙或者陷落柱等构造充水的，应当采取注浆加固或者留设防隔水煤（岩）柱等安全措施；</w:t>
            </w:r>
          </w:p>
          <w:p>
            <w:pPr>
              <w:keepNext w:val="0"/>
              <w:keepLines w:val="0"/>
              <w:pageBreakBefore w:val="0"/>
              <w:kinsoku/>
              <w:wordWrap/>
              <w:overflowPunct w:val="0"/>
              <w:topLinePunct w:val="0"/>
              <w:autoSpaceDE/>
              <w:autoSpaceDN/>
              <w:bidi w:val="0"/>
              <w:adjustRightInd w:val="0"/>
              <w:snapToGrid w:val="0"/>
              <w:spacing w:line="240" w:lineRule="atLeast"/>
              <w:ind w:left="0" w:leftChars="0" w:right="0" w:rightChars="0" w:firstLine="0" w:firstLineChars="0"/>
              <w:textAlignment w:val="auto"/>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4.年初编制年度水害分析预测表及水害预测图；</w:t>
            </w:r>
          </w:p>
          <w:p>
            <w:pPr>
              <w:keepNext w:val="0"/>
              <w:keepLines w:val="0"/>
              <w:pageBreakBefore w:val="0"/>
              <w:kinsoku/>
              <w:wordWrap/>
              <w:overflowPunct w:val="0"/>
              <w:topLinePunct w:val="0"/>
              <w:autoSpaceDE/>
              <w:autoSpaceDN/>
              <w:bidi w:val="0"/>
              <w:adjustRightInd w:val="0"/>
              <w:snapToGrid w:val="0"/>
              <w:spacing w:line="240" w:lineRule="atLeast"/>
              <w:ind w:left="0" w:leftChars="0" w:right="0" w:rightChars="0" w:firstLine="0" w:firstLineChars="0"/>
              <w:textAlignment w:val="auto"/>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sz w:val="21"/>
                <w:szCs w:val="21"/>
                <w:highlight w:val="none"/>
              </w:rPr>
              <w:t>5.编制矿井中长期防治水规划及年度防治水计划，并组织实施</w:t>
            </w:r>
          </w:p>
        </w:tc>
        <w:tc>
          <w:tcPr>
            <w:tcW w:w="2844" w:type="dxa"/>
          </w:tcPr>
          <w:p>
            <w:pPr>
              <w:widowControl/>
              <w:adjustRightInd w:val="0"/>
              <w:snapToGrid w:val="0"/>
              <w:spacing w:line="280" w:lineRule="exact"/>
              <w:rPr>
                <w:rFonts w:hint="eastAsia" w:asciiTheme="majorEastAsia" w:hAnsiTheme="majorEastAsia" w:eastAsiaTheme="majorEastAsia" w:cstheme="majorEastAsia"/>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7453" w:hRule="atLeast"/>
          <w:jc w:val="center"/>
        </w:trPr>
        <w:tc>
          <w:tcPr>
            <w:tcW w:w="1161" w:type="dxa"/>
          </w:tcPr>
          <w:p>
            <w:pPr>
              <w:adjustRightInd w:val="0"/>
              <w:snapToGrid w:val="0"/>
              <w:jc w:val="center"/>
              <w:rPr>
                <w:rFonts w:hint="eastAsia" w:asciiTheme="majorEastAsia" w:hAnsiTheme="majorEastAsia" w:eastAsiaTheme="majorEastAsia" w:cstheme="majorEastAsia"/>
                <w:sz w:val="21"/>
                <w:szCs w:val="21"/>
                <w:highlight w:val="none"/>
              </w:rPr>
            </w:pPr>
          </w:p>
        </w:tc>
        <w:tc>
          <w:tcPr>
            <w:tcW w:w="1164" w:type="dxa"/>
          </w:tcPr>
          <w:p>
            <w:pPr>
              <w:adjustRightInd w:val="0"/>
              <w:snapToGrid w:val="0"/>
              <w:jc w:val="center"/>
              <w:rPr>
                <w:rFonts w:hint="eastAsia" w:asciiTheme="majorEastAsia" w:hAnsiTheme="majorEastAsia" w:eastAsiaTheme="majorEastAsia" w:cstheme="majorEastAsia"/>
                <w:kern w:val="0"/>
                <w:sz w:val="21"/>
                <w:szCs w:val="21"/>
                <w:highlight w:val="none"/>
              </w:rPr>
            </w:pPr>
          </w:p>
        </w:tc>
        <w:tc>
          <w:tcPr>
            <w:tcW w:w="4487" w:type="dxa"/>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both"/>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水害探查治理：</w:t>
            </w:r>
          </w:p>
          <w:p>
            <w:pPr>
              <w:keepNext w:val="0"/>
              <w:keepLines w:val="0"/>
              <w:pageBreakBefore w:val="0"/>
              <w:widowControl/>
              <w:kinsoku/>
              <w:wordWrap/>
              <w:overflowPunct/>
              <w:topLinePunct w:val="0"/>
              <w:autoSpaceDE/>
              <w:autoSpaceDN/>
              <w:bidi w:val="0"/>
              <w:adjustRightInd/>
              <w:snapToGrid/>
              <w:spacing w:line="240" w:lineRule="atLeast"/>
              <w:ind w:firstLine="0" w:firstLineChars="0"/>
              <w:jc w:val="both"/>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地表水：开采范围内存在影响安全生产的地表水体，应当建立地面防排水系统；井口和工业场地内建筑物的地面标高低于当地历史最高洪水位的，应当采取可靠的防御措施；雨季前必须对防治水工作进行全面检查，制定雨季防治水措施，建立雨季巡视制度；</w:t>
            </w:r>
          </w:p>
          <w:p>
            <w:pPr>
              <w:keepNext w:val="0"/>
              <w:keepLines w:val="0"/>
              <w:pageBreakBefore w:val="0"/>
              <w:widowControl/>
              <w:kinsoku/>
              <w:wordWrap/>
              <w:overflowPunct/>
              <w:topLinePunct w:val="0"/>
              <w:autoSpaceDE/>
              <w:autoSpaceDN/>
              <w:bidi w:val="0"/>
              <w:adjustRightInd/>
              <w:snapToGrid/>
              <w:spacing w:line="240" w:lineRule="atLeast"/>
              <w:ind w:firstLine="0" w:firstLineChars="0"/>
              <w:jc w:val="both"/>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2.顶板水：煤层顶板导水裂隙带范围内的含水层或者其他水体影响安全生产时，应当实测垮落带、导水裂隙带发育高度，进行专项设计，制定治理方案并实施；受离层水威胁的矿井，应当采取地面抽泄或井下反向疏放等措施消除威胁；</w:t>
            </w:r>
          </w:p>
          <w:p>
            <w:pPr>
              <w:keepNext w:val="0"/>
              <w:keepLines w:val="0"/>
              <w:pageBreakBefore w:val="0"/>
              <w:widowControl/>
              <w:kinsoku/>
              <w:wordWrap/>
              <w:overflowPunct/>
              <w:topLinePunct w:val="0"/>
              <w:autoSpaceDE/>
              <w:autoSpaceDN/>
              <w:bidi w:val="0"/>
              <w:adjustRightInd/>
              <w:snapToGrid/>
              <w:spacing w:line="240" w:lineRule="atLeast"/>
              <w:ind w:firstLine="0" w:firstLineChars="0"/>
              <w:jc w:val="both"/>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3.底板水：底板承压含水层与开采煤层之间的隔水层能够承受的水头值大于实际水头值的区域，应当制定专项措施报企业技术负责人审批；隔水层能够承受的水头值小于实际水头值时，根据矿井实际情况选择性采取超前区域治理、注浆加固底板改造含水层、疏水降压、充填开采等措施进行治理；煤层底板存在高承压岩溶含水层采用区域治理方法的，应当制定区域治理设计方案，报企业技术负责人审批；</w:t>
            </w:r>
          </w:p>
          <w:p>
            <w:pPr>
              <w:keepNext w:val="0"/>
              <w:keepLines w:val="0"/>
              <w:pageBreakBefore w:val="0"/>
              <w:widowControl/>
              <w:kinsoku/>
              <w:wordWrap/>
              <w:overflowPunct/>
              <w:topLinePunct w:val="0"/>
              <w:autoSpaceDE/>
              <w:autoSpaceDN/>
              <w:bidi w:val="0"/>
              <w:adjustRightInd/>
              <w:snapToGrid/>
              <w:spacing w:line="240" w:lineRule="atLeast"/>
              <w:ind w:firstLine="0" w:firstLineChars="0"/>
              <w:jc w:val="both"/>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rPr>
              <w:t>4.老空水：矿井应查明采掘影响区域内老空分布范围及积水情况，情况不明的区域应当采取综合技术手段进行探查，探查后应当制定矿井老空水害评价报告和老空水防治方案</w:t>
            </w:r>
          </w:p>
        </w:tc>
        <w:tc>
          <w:tcPr>
            <w:tcW w:w="4062" w:type="dxa"/>
            <w:vAlign w:val="center"/>
          </w:tcPr>
          <w:p>
            <w:pPr>
              <w:keepNext w:val="0"/>
              <w:keepLines w:val="0"/>
              <w:pageBreakBefore w:val="0"/>
              <w:kinsoku/>
              <w:wordWrap/>
              <w:overflowPunct w:val="0"/>
              <w:topLinePunct w:val="0"/>
              <w:autoSpaceDE/>
              <w:autoSpaceDN/>
              <w:bidi w:val="0"/>
              <w:adjustRightInd w:val="0"/>
              <w:snapToGrid w:val="0"/>
              <w:spacing w:line="240" w:lineRule="atLeast"/>
              <w:ind w:left="0" w:leftChars="0" w:right="0" w:rightChars="0" w:firstLine="0" w:firstLineChars="0"/>
              <w:textAlignment w:val="auto"/>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1.矿井、采区、工作面防排水系统健全完善，能力满足相关规定要求；</w:t>
            </w:r>
          </w:p>
          <w:p>
            <w:pPr>
              <w:keepNext w:val="0"/>
              <w:keepLines w:val="0"/>
              <w:pageBreakBefore w:val="0"/>
              <w:kinsoku/>
              <w:wordWrap/>
              <w:overflowPunct w:val="0"/>
              <w:topLinePunct w:val="0"/>
              <w:autoSpaceDE/>
              <w:autoSpaceDN/>
              <w:bidi w:val="0"/>
              <w:adjustRightInd w:val="0"/>
              <w:snapToGrid w:val="0"/>
              <w:spacing w:line="240" w:lineRule="atLeast"/>
              <w:ind w:left="0" w:leftChars="0" w:right="0" w:rightChars="0" w:firstLine="0" w:firstLineChars="0"/>
              <w:textAlignment w:val="auto"/>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rPr>
              <w:t>2.建立地下水动态监测系统，受底板承压水威胁的水文地质类型复杂、极复杂矿井，还应建立突水监测预警系统</w:t>
            </w:r>
          </w:p>
        </w:tc>
        <w:tc>
          <w:tcPr>
            <w:tcW w:w="2844" w:type="dxa"/>
          </w:tcPr>
          <w:p>
            <w:pPr>
              <w:widowControl/>
              <w:adjustRightInd w:val="0"/>
              <w:snapToGrid w:val="0"/>
              <w:spacing w:line="280" w:lineRule="exact"/>
              <w:rPr>
                <w:rFonts w:hint="eastAsia" w:asciiTheme="majorEastAsia" w:hAnsiTheme="majorEastAsia" w:eastAsiaTheme="majorEastAsia" w:cstheme="majorEastAsia"/>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799" w:hRule="atLeast"/>
          <w:jc w:val="center"/>
        </w:trPr>
        <w:tc>
          <w:tcPr>
            <w:tcW w:w="1161" w:type="dxa"/>
          </w:tcPr>
          <w:p>
            <w:pPr>
              <w:adjustRightInd w:val="0"/>
              <w:snapToGrid w:val="0"/>
              <w:jc w:val="center"/>
              <w:rPr>
                <w:rFonts w:hint="eastAsia" w:asciiTheme="majorEastAsia" w:hAnsiTheme="majorEastAsia" w:eastAsiaTheme="majorEastAsia" w:cstheme="majorEastAsia"/>
                <w:sz w:val="21"/>
                <w:szCs w:val="21"/>
                <w:highlight w:val="none"/>
              </w:rPr>
            </w:pPr>
          </w:p>
        </w:tc>
        <w:tc>
          <w:tcPr>
            <w:tcW w:w="1164" w:type="dxa"/>
          </w:tcPr>
          <w:p>
            <w:pPr>
              <w:adjustRightInd w:val="0"/>
              <w:snapToGrid w:val="0"/>
              <w:jc w:val="center"/>
              <w:rPr>
                <w:rFonts w:hint="eastAsia" w:asciiTheme="majorEastAsia" w:hAnsiTheme="majorEastAsia" w:eastAsiaTheme="majorEastAsia" w:cstheme="majorEastAsia"/>
                <w:kern w:val="0"/>
                <w:sz w:val="21"/>
                <w:szCs w:val="21"/>
                <w:highlight w:val="none"/>
              </w:rPr>
            </w:pPr>
          </w:p>
        </w:tc>
        <w:tc>
          <w:tcPr>
            <w:tcW w:w="4487" w:type="dxa"/>
          </w:tcPr>
          <w:p>
            <w:pPr>
              <w:widowControl/>
              <w:adjustRightInd w:val="0"/>
              <w:snapToGrid w:val="0"/>
              <w:spacing w:line="280" w:lineRule="exact"/>
              <w:rPr>
                <w:rFonts w:hint="eastAsia" w:asciiTheme="majorEastAsia" w:hAnsiTheme="majorEastAsia" w:eastAsiaTheme="majorEastAsia" w:cstheme="majorEastAsia"/>
                <w:kern w:val="0"/>
                <w:sz w:val="21"/>
                <w:szCs w:val="21"/>
                <w:highlight w:val="none"/>
              </w:rPr>
            </w:pPr>
          </w:p>
        </w:tc>
        <w:tc>
          <w:tcPr>
            <w:tcW w:w="4062" w:type="dxa"/>
            <w:vAlign w:val="center"/>
          </w:tcPr>
          <w:p>
            <w:pPr>
              <w:keepNext w:val="0"/>
              <w:keepLines w:val="0"/>
              <w:pageBreakBefore w:val="0"/>
              <w:kinsoku/>
              <w:wordWrap/>
              <w:overflowPunct w:val="0"/>
              <w:topLinePunct w:val="0"/>
              <w:autoSpaceDE/>
              <w:autoSpaceDN/>
              <w:bidi w:val="0"/>
              <w:adjustRightInd w:val="0"/>
              <w:snapToGrid w:val="0"/>
              <w:spacing w:line="240" w:lineRule="atLeast"/>
              <w:ind w:left="0" w:leftChars="0" w:right="0" w:rightChars="0" w:firstLine="0" w:firstLineChars="0"/>
              <w:textAlignment w:val="auto"/>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1.井上、下各项防治水工程按照《煤矿防治水细则》要求编制设计方案和施工安全技术措施，并按程序审批，工程结束提交验收报告及总结报告；</w:t>
            </w:r>
          </w:p>
          <w:p>
            <w:pPr>
              <w:keepNext w:val="0"/>
              <w:keepLines w:val="0"/>
              <w:pageBreakBefore w:val="0"/>
              <w:kinsoku/>
              <w:wordWrap/>
              <w:overflowPunct w:val="0"/>
              <w:topLinePunct w:val="0"/>
              <w:autoSpaceDE/>
              <w:autoSpaceDN/>
              <w:bidi w:val="0"/>
              <w:adjustRightInd w:val="0"/>
              <w:snapToGrid w:val="0"/>
              <w:spacing w:line="240" w:lineRule="atLeast"/>
              <w:ind w:left="0" w:leftChars="0" w:right="0" w:rightChars="0" w:firstLine="0" w:firstLineChars="0"/>
              <w:textAlignment w:val="auto"/>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2.按规定编制探放水设计与专项措施；井下探放水执行“三专两探一撤”的要求；</w:t>
            </w:r>
          </w:p>
          <w:p>
            <w:pPr>
              <w:keepNext w:val="0"/>
              <w:keepLines w:val="0"/>
              <w:pageBreakBefore w:val="0"/>
              <w:kinsoku/>
              <w:wordWrap/>
              <w:overflowPunct w:val="0"/>
              <w:topLinePunct w:val="0"/>
              <w:autoSpaceDE/>
              <w:autoSpaceDN/>
              <w:bidi w:val="0"/>
              <w:adjustRightInd w:val="0"/>
              <w:snapToGrid w:val="0"/>
              <w:spacing w:line="240" w:lineRule="atLeast"/>
              <w:ind w:left="0" w:leftChars="0" w:right="0" w:rightChars="0" w:firstLine="0" w:firstLineChars="0"/>
              <w:textAlignment w:val="auto"/>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3.探放水工程有包含单孔设计的专项设计；</w:t>
            </w:r>
          </w:p>
          <w:p>
            <w:pPr>
              <w:keepNext w:val="0"/>
              <w:keepLines w:val="0"/>
              <w:pageBreakBefore w:val="0"/>
              <w:kinsoku/>
              <w:wordWrap/>
              <w:overflowPunct w:val="0"/>
              <w:topLinePunct w:val="0"/>
              <w:autoSpaceDE/>
              <w:autoSpaceDN/>
              <w:bidi w:val="0"/>
              <w:adjustRightInd w:val="0"/>
              <w:snapToGrid w:val="0"/>
              <w:spacing w:line="240" w:lineRule="atLeast"/>
              <w:ind w:left="0" w:leftChars="0" w:right="0" w:rightChars="0" w:firstLine="0" w:firstLineChars="0"/>
              <w:textAlignment w:val="auto"/>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4.对井田内井下和地面的所有水文钻孔每半年进行1次全面排查，记录详细；</w:t>
            </w:r>
          </w:p>
          <w:p>
            <w:pPr>
              <w:keepNext w:val="0"/>
              <w:keepLines w:val="0"/>
              <w:pageBreakBefore w:val="0"/>
              <w:kinsoku/>
              <w:wordWrap/>
              <w:overflowPunct w:val="0"/>
              <w:topLinePunct w:val="0"/>
              <w:autoSpaceDE/>
              <w:autoSpaceDN/>
              <w:bidi w:val="0"/>
              <w:adjustRightInd w:val="0"/>
              <w:snapToGrid w:val="0"/>
              <w:spacing w:line="240" w:lineRule="atLeast"/>
              <w:ind w:left="0" w:leftChars="0" w:right="0" w:rightChars="0" w:firstLine="0" w:firstLineChars="0"/>
              <w:textAlignment w:val="auto"/>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5.按规定落实地面防治水与井下防水工程要求；防水煤柱留设按规定程序审批；防水闸门与防水闸墙按要求设计、施工、竣工验收；</w:t>
            </w:r>
          </w:p>
          <w:p>
            <w:pPr>
              <w:keepNext w:val="0"/>
              <w:keepLines w:val="0"/>
              <w:pageBreakBefore w:val="0"/>
              <w:kinsoku/>
              <w:wordWrap/>
              <w:overflowPunct w:val="0"/>
              <w:topLinePunct w:val="0"/>
              <w:autoSpaceDE/>
              <w:autoSpaceDN/>
              <w:bidi w:val="0"/>
              <w:adjustRightInd w:val="0"/>
              <w:snapToGrid w:val="0"/>
              <w:spacing w:line="240" w:lineRule="atLeast"/>
              <w:ind w:left="0" w:leftChars="0" w:right="0" w:rightChars="0" w:firstLine="0" w:firstLineChars="0"/>
              <w:textAlignment w:val="auto"/>
              <w:rPr>
                <w:rFonts w:hint="eastAsia" w:asciiTheme="majorEastAsia" w:hAnsiTheme="majorEastAsia" w:eastAsiaTheme="majorEastAsia" w:cstheme="majorEastAsia"/>
                <w:w w:val="90"/>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rPr>
              <w:t>6.制定并严格执行雨季“三防”措施、水害应急专项预案和现场处置方案</w:t>
            </w:r>
          </w:p>
        </w:tc>
        <w:tc>
          <w:tcPr>
            <w:tcW w:w="2844" w:type="dxa"/>
          </w:tcPr>
          <w:p>
            <w:pPr>
              <w:widowControl/>
              <w:adjustRightInd w:val="0"/>
              <w:snapToGrid w:val="0"/>
              <w:spacing w:line="280" w:lineRule="exact"/>
              <w:rPr>
                <w:rFonts w:hint="eastAsia" w:asciiTheme="majorEastAsia" w:hAnsiTheme="majorEastAsia" w:eastAsiaTheme="majorEastAsia" w:cstheme="majorEastAsia"/>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2491" w:hRule="atLeast"/>
          <w:jc w:val="center"/>
        </w:trPr>
        <w:tc>
          <w:tcPr>
            <w:tcW w:w="1161" w:type="dxa"/>
          </w:tcPr>
          <w:p>
            <w:pPr>
              <w:adjustRightInd w:val="0"/>
              <w:snapToGrid w:val="0"/>
              <w:jc w:val="center"/>
              <w:rPr>
                <w:rFonts w:hint="eastAsia" w:asciiTheme="majorEastAsia" w:hAnsiTheme="majorEastAsia" w:eastAsiaTheme="majorEastAsia" w:cstheme="majorEastAsia"/>
                <w:sz w:val="21"/>
                <w:szCs w:val="21"/>
                <w:highlight w:val="none"/>
              </w:rPr>
            </w:pPr>
          </w:p>
        </w:tc>
        <w:tc>
          <w:tcPr>
            <w:tcW w:w="1164" w:type="dxa"/>
          </w:tcPr>
          <w:p>
            <w:pPr>
              <w:adjustRightInd w:val="0"/>
              <w:snapToGrid w:val="0"/>
              <w:jc w:val="center"/>
              <w:rPr>
                <w:rFonts w:hint="eastAsia" w:asciiTheme="majorEastAsia" w:hAnsiTheme="majorEastAsia" w:eastAsiaTheme="majorEastAsia" w:cstheme="majorEastAsia"/>
                <w:kern w:val="0"/>
                <w:sz w:val="21"/>
                <w:szCs w:val="21"/>
                <w:highlight w:val="none"/>
              </w:rPr>
            </w:pPr>
          </w:p>
        </w:tc>
        <w:tc>
          <w:tcPr>
            <w:tcW w:w="4487" w:type="dxa"/>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both"/>
              <w:textAlignment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效果评价：</w:t>
            </w:r>
          </w:p>
          <w:p>
            <w:pPr>
              <w:keepNext w:val="0"/>
              <w:keepLines w:val="0"/>
              <w:pageBreakBefore w:val="0"/>
              <w:widowControl/>
              <w:kinsoku/>
              <w:wordWrap/>
              <w:overflowPunct/>
              <w:topLinePunct w:val="0"/>
              <w:autoSpaceDE/>
              <w:autoSpaceDN/>
              <w:bidi w:val="0"/>
              <w:adjustRightInd/>
              <w:snapToGrid/>
              <w:spacing w:line="240" w:lineRule="atLeast"/>
              <w:ind w:firstLine="0" w:firstLineChars="0"/>
              <w:jc w:val="both"/>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kern w:val="0"/>
                <w:sz w:val="21"/>
                <w:szCs w:val="21"/>
                <w:highlight w:val="none"/>
              </w:rPr>
              <w:t>1.底板承压水注浆加固底板、改造含水层或者区域治理工程结束后，对工程效果做出结论性评价，</w:t>
            </w:r>
            <w:r>
              <w:rPr>
                <w:rFonts w:hint="eastAsia" w:asciiTheme="majorEastAsia" w:hAnsiTheme="majorEastAsia" w:eastAsiaTheme="majorEastAsia" w:cstheme="majorEastAsia"/>
                <w:color w:val="auto"/>
                <w:sz w:val="21"/>
                <w:szCs w:val="21"/>
                <w:highlight w:val="none"/>
                <w:u w:val="none"/>
              </w:rPr>
              <w:t>提交竣工报告，由</w:t>
            </w:r>
            <w:r>
              <w:rPr>
                <w:rFonts w:hint="eastAsia" w:asciiTheme="majorEastAsia" w:hAnsiTheme="majorEastAsia" w:eastAsiaTheme="majorEastAsia" w:cstheme="majorEastAsia"/>
                <w:kern w:val="0"/>
                <w:sz w:val="21"/>
                <w:szCs w:val="21"/>
                <w:highlight w:val="none"/>
              </w:rPr>
              <w:t>企业技术负责人</w:t>
            </w:r>
            <w:r>
              <w:rPr>
                <w:rFonts w:hint="eastAsia" w:asciiTheme="majorEastAsia" w:hAnsiTheme="majorEastAsia" w:eastAsiaTheme="majorEastAsia" w:cstheme="majorEastAsia"/>
                <w:color w:val="auto"/>
                <w:sz w:val="21"/>
                <w:szCs w:val="21"/>
                <w:highlight w:val="none"/>
                <w:u w:val="none"/>
              </w:rPr>
              <w:t>组织验收，采掘施工前采用物探、钻探等方法进行效果验证；</w:t>
            </w:r>
          </w:p>
          <w:p>
            <w:pPr>
              <w:keepNext w:val="0"/>
              <w:keepLines w:val="0"/>
              <w:pageBreakBefore w:val="0"/>
              <w:widowControl/>
              <w:kinsoku/>
              <w:wordWrap/>
              <w:overflowPunct/>
              <w:topLinePunct w:val="0"/>
              <w:autoSpaceDE/>
              <w:autoSpaceDN/>
              <w:bidi w:val="0"/>
              <w:adjustRightInd/>
              <w:snapToGrid/>
              <w:spacing w:line="240" w:lineRule="atLeast"/>
              <w:ind w:firstLine="0" w:firstLineChars="0"/>
              <w:jc w:val="both"/>
              <w:textAlignment w:val="center"/>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rPr>
              <w:t>2.老空水探放结束后，对比放水量与预计积水量，采用钻探、物探方法对放水效果进行验证，下达允许掘进通知书，严禁超掘超采</w:t>
            </w:r>
          </w:p>
        </w:tc>
        <w:tc>
          <w:tcPr>
            <w:tcW w:w="4062" w:type="dxa"/>
            <w:vAlign w:val="center"/>
          </w:tcPr>
          <w:p>
            <w:pPr>
              <w:keepNext w:val="0"/>
              <w:keepLines w:val="0"/>
              <w:pageBreakBefore w:val="0"/>
              <w:kinsoku/>
              <w:wordWrap/>
              <w:overflowPunct w:val="0"/>
              <w:topLinePunct w:val="0"/>
              <w:autoSpaceDE/>
              <w:autoSpaceDN/>
              <w:bidi w:val="0"/>
              <w:adjustRightInd w:val="0"/>
              <w:snapToGrid w:val="0"/>
              <w:spacing w:line="240" w:lineRule="atLeast"/>
              <w:ind w:left="0" w:leftChars="0" w:right="0" w:rightChars="0" w:firstLine="0" w:firstLineChars="0"/>
              <w:textAlignment w:val="auto"/>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rPr>
              <w:t>防治水工程质量均符合设计要求</w:t>
            </w:r>
          </w:p>
        </w:tc>
        <w:tc>
          <w:tcPr>
            <w:tcW w:w="2844" w:type="dxa"/>
          </w:tcPr>
          <w:p>
            <w:pPr>
              <w:widowControl/>
              <w:adjustRightInd w:val="0"/>
              <w:snapToGrid w:val="0"/>
              <w:spacing w:line="280" w:lineRule="exact"/>
              <w:rPr>
                <w:rFonts w:hint="eastAsia" w:asciiTheme="majorEastAsia" w:hAnsiTheme="majorEastAsia" w:eastAsiaTheme="majorEastAsia" w:cstheme="majorEastAsia"/>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2147" w:hRule="atLeast"/>
          <w:jc w:val="center"/>
        </w:trPr>
        <w:tc>
          <w:tcPr>
            <w:tcW w:w="1161" w:type="dxa"/>
          </w:tcPr>
          <w:p>
            <w:pPr>
              <w:adjustRightInd w:val="0"/>
              <w:snapToGrid w:val="0"/>
              <w:jc w:val="center"/>
              <w:rPr>
                <w:rFonts w:hint="eastAsia" w:asciiTheme="majorEastAsia" w:hAnsiTheme="majorEastAsia" w:eastAsiaTheme="majorEastAsia" w:cstheme="majorEastAsia"/>
                <w:sz w:val="21"/>
                <w:szCs w:val="21"/>
                <w:highlight w:val="none"/>
              </w:rPr>
            </w:pPr>
          </w:p>
        </w:tc>
        <w:tc>
          <w:tcPr>
            <w:tcW w:w="1164" w:type="dxa"/>
          </w:tcPr>
          <w:p>
            <w:pPr>
              <w:adjustRightInd w:val="0"/>
              <w:snapToGrid w:val="0"/>
              <w:jc w:val="center"/>
              <w:rPr>
                <w:rFonts w:hint="eastAsia" w:asciiTheme="majorEastAsia" w:hAnsiTheme="majorEastAsia" w:eastAsiaTheme="majorEastAsia" w:cstheme="majorEastAsia"/>
                <w:kern w:val="0"/>
                <w:sz w:val="21"/>
                <w:szCs w:val="21"/>
                <w:highlight w:val="none"/>
              </w:rPr>
            </w:pPr>
          </w:p>
        </w:tc>
        <w:tc>
          <w:tcPr>
            <w:tcW w:w="4487" w:type="dxa"/>
          </w:tcPr>
          <w:p>
            <w:pPr>
              <w:widowControl/>
              <w:adjustRightInd w:val="0"/>
              <w:snapToGrid w:val="0"/>
              <w:spacing w:line="280" w:lineRule="exact"/>
              <w:rPr>
                <w:rFonts w:hint="eastAsia" w:asciiTheme="majorEastAsia" w:hAnsiTheme="majorEastAsia" w:eastAsiaTheme="majorEastAsia" w:cstheme="majorEastAsia"/>
                <w:kern w:val="0"/>
                <w:sz w:val="21"/>
                <w:szCs w:val="21"/>
                <w:highlight w:val="none"/>
              </w:rPr>
            </w:pPr>
          </w:p>
        </w:tc>
        <w:tc>
          <w:tcPr>
            <w:tcW w:w="4062" w:type="dxa"/>
            <w:vAlign w:val="center"/>
          </w:tcPr>
          <w:p>
            <w:pPr>
              <w:keepNext w:val="0"/>
              <w:keepLines w:val="0"/>
              <w:pageBreakBefore w:val="0"/>
              <w:kinsoku/>
              <w:wordWrap/>
              <w:overflowPunct w:val="0"/>
              <w:topLinePunct w:val="0"/>
              <w:autoSpaceDE/>
              <w:autoSpaceDN/>
              <w:bidi w:val="0"/>
              <w:adjustRightInd w:val="0"/>
              <w:snapToGrid w:val="0"/>
              <w:spacing w:line="240" w:lineRule="atLeast"/>
              <w:ind w:left="0" w:leftChars="0" w:right="0" w:rightChars="0" w:firstLine="0" w:firstLineChars="0"/>
              <w:textAlignment w:val="auto"/>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rPr>
              <w:t>用物探和钻探等手段查明疏干、带压开采工作面隐伏构造、构造破碎带及其含（导）水情况，制定防治水措施</w:t>
            </w:r>
          </w:p>
        </w:tc>
        <w:tc>
          <w:tcPr>
            <w:tcW w:w="2844" w:type="dxa"/>
          </w:tcPr>
          <w:p>
            <w:pPr>
              <w:widowControl/>
              <w:adjustRightInd w:val="0"/>
              <w:snapToGrid w:val="0"/>
              <w:spacing w:line="280" w:lineRule="exact"/>
              <w:rPr>
                <w:rFonts w:hint="eastAsia" w:asciiTheme="majorEastAsia" w:hAnsiTheme="majorEastAsia" w:eastAsiaTheme="majorEastAsia" w:cstheme="majorEastAsia"/>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2147" w:hRule="atLeast"/>
          <w:jc w:val="center"/>
        </w:trPr>
        <w:tc>
          <w:tcPr>
            <w:tcW w:w="1161" w:type="dxa"/>
          </w:tcPr>
          <w:p>
            <w:pPr>
              <w:adjustRightInd w:val="0"/>
              <w:snapToGrid w:val="0"/>
              <w:jc w:val="center"/>
              <w:rPr>
                <w:rFonts w:hint="eastAsia" w:asciiTheme="majorEastAsia" w:hAnsiTheme="majorEastAsia" w:eastAsiaTheme="majorEastAsia" w:cstheme="majorEastAsia"/>
                <w:sz w:val="21"/>
                <w:szCs w:val="21"/>
                <w:highlight w:val="none"/>
              </w:rPr>
            </w:pPr>
          </w:p>
        </w:tc>
        <w:tc>
          <w:tcPr>
            <w:tcW w:w="1164" w:type="dxa"/>
          </w:tcPr>
          <w:p>
            <w:pPr>
              <w:adjustRightInd w:val="0"/>
              <w:snapToGrid w:val="0"/>
              <w:jc w:val="center"/>
              <w:rPr>
                <w:rFonts w:hint="eastAsia" w:asciiTheme="majorEastAsia" w:hAnsiTheme="majorEastAsia" w:eastAsiaTheme="majorEastAsia" w:cstheme="majorEastAsia"/>
                <w:kern w:val="0"/>
                <w:sz w:val="21"/>
                <w:szCs w:val="21"/>
                <w:highlight w:val="none"/>
              </w:rPr>
            </w:pPr>
          </w:p>
        </w:tc>
        <w:tc>
          <w:tcPr>
            <w:tcW w:w="4487" w:type="dxa"/>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both"/>
              <w:textAlignment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监测预警：</w:t>
            </w:r>
          </w:p>
          <w:p>
            <w:pPr>
              <w:keepNext w:val="0"/>
              <w:keepLines w:val="0"/>
              <w:pageBreakBefore w:val="0"/>
              <w:widowControl/>
              <w:kinsoku/>
              <w:wordWrap/>
              <w:overflowPunct/>
              <w:topLinePunct w:val="0"/>
              <w:autoSpaceDE/>
              <w:autoSpaceDN/>
              <w:bidi w:val="0"/>
              <w:adjustRightInd/>
              <w:snapToGrid/>
              <w:spacing w:line="240" w:lineRule="atLeast"/>
              <w:ind w:firstLine="0" w:firstLineChars="0"/>
              <w:jc w:val="both"/>
              <w:textAlignment w:val="center"/>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rPr>
              <w:t>建立地下水动态监测系统，受底板承压水威胁的水文地质类型复杂、极复杂的矿井，还应建立突水监测预警系统</w:t>
            </w:r>
          </w:p>
        </w:tc>
        <w:tc>
          <w:tcPr>
            <w:tcW w:w="4062" w:type="dxa"/>
            <w:vAlign w:val="center"/>
          </w:tcPr>
          <w:p>
            <w:pPr>
              <w:keepNext w:val="0"/>
              <w:keepLines w:val="0"/>
              <w:pageBreakBefore w:val="0"/>
              <w:kinsoku/>
              <w:wordWrap/>
              <w:overflowPunct w:val="0"/>
              <w:topLinePunct w:val="0"/>
              <w:autoSpaceDE/>
              <w:autoSpaceDN/>
              <w:bidi w:val="0"/>
              <w:adjustRightInd w:val="0"/>
              <w:snapToGrid w:val="0"/>
              <w:spacing w:line="240" w:lineRule="atLeast"/>
              <w:ind w:left="0" w:leftChars="0" w:right="0" w:rightChars="0" w:firstLine="0" w:firstLineChars="0"/>
              <w:textAlignment w:val="auto"/>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1.积水能够及时排出；</w:t>
            </w:r>
          </w:p>
          <w:p>
            <w:pPr>
              <w:keepNext w:val="0"/>
              <w:keepLines w:val="0"/>
              <w:pageBreakBefore w:val="0"/>
              <w:kinsoku/>
              <w:wordWrap/>
              <w:overflowPunct w:val="0"/>
              <w:topLinePunct w:val="0"/>
              <w:autoSpaceDE/>
              <w:autoSpaceDN/>
              <w:bidi w:val="0"/>
              <w:adjustRightInd w:val="0"/>
              <w:snapToGrid w:val="0"/>
              <w:spacing w:line="240" w:lineRule="atLeast"/>
              <w:ind w:left="0" w:leftChars="0" w:right="0" w:rightChars="0" w:firstLine="0" w:firstLineChars="0"/>
              <w:textAlignment w:val="auto"/>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rPr>
              <w:t>2.按规定及时清理水仓、水沟，保证排水畅通</w:t>
            </w:r>
          </w:p>
        </w:tc>
        <w:tc>
          <w:tcPr>
            <w:tcW w:w="2844" w:type="dxa"/>
          </w:tcPr>
          <w:p>
            <w:pPr>
              <w:widowControl/>
              <w:adjustRightInd w:val="0"/>
              <w:snapToGrid w:val="0"/>
              <w:spacing w:line="280" w:lineRule="exact"/>
              <w:rPr>
                <w:rFonts w:hint="eastAsia" w:asciiTheme="majorEastAsia" w:hAnsiTheme="majorEastAsia" w:eastAsiaTheme="majorEastAsia" w:cstheme="majorEastAsia"/>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2147" w:hRule="atLeast"/>
          <w:jc w:val="center"/>
        </w:trPr>
        <w:tc>
          <w:tcPr>
            <w:tcW w:w="1161" w:type="dxa"/>
          </w:tcPr>
          <w:p>
            <w:pPr>
              <w:adjustRightInd w:val="0"/>
              <w:snapToGrid w:val="0"/>
              <w:jc w:val="center"/>
              <w:rPr>
                <w:rFonts w:hint="eastAsia" w:asciiTheme="majorEastAsia" w:hAnsiTheme="majorEastAsia" w:eastAsiaTheme="majorEastAsia" w:cstheme="majorEastAsia"/>
                <w:sz w:val="21"/>
                <w:szCs w:val="21"/>
                <w:highlight w:val="none"/>
              </w:rPr>
            </w:pPr>
          </w:p>
        </w:tc>
        <w:tc>
          <w:tcPr>
            <w:tcW w:w="1164" w:type="dxa"/>
          </w:tcPr>
          <w:p>
            <w:pPr>
              <w:adjustRightInd w:val="0"/>
              <w:snapToGrid w:val="0"/>
              <w:jc w:val="center"/>
              <w:rPr>
                <w:rFonts w:hint="eastAsia" w:asciiTheme="majorEastAsia" w:hAnsiTheme="majorEastAsia" w:eastAsiaTheme="majorEastAsia" w:cstheme="majorEastAsia"/>
                <w:kern w:val="0"/>
                <w:sz w:val="21"/>
                <w:szCs w:val="21"/>
                <w:highlight w:val="none"/>
              </w:rPr>
            </w:pPr>
          </w:p>
        </w:tc>
        <w:tc>
          <w:tcPr>
            <w:tcW w:w="4487" w:type="dxa"/>
          </w:tcPr>
          <w:p>
            <w:pPr>
              <w:widowControl/>
              <w:adjustRightInd w:val="0"/>
              <w:snapToGrid w:val="0"/>
              <w:spacing w:line="280" w:lineRule="exact"/>
              <w:rPr>
                <w:rFonts w:hint="eastAsia" w:asciiTheme="majorEastAsia" w:hAnsiTheme="majorEastAsia" w:eastAsiaTheme="majorEastAsia" w:cstheme="majorEastAsia"/>
                <w:kern w:val="0"/>
                <w:sz w:val="21"/>
                <w:szCs w:val="21"/>
                <w:highlight w:val="none"/>
              </w:rPr>
            </w:pPr>
          </w:p>
        </w:tc>
        <w:tc>
          <w:tcPr>
            <w:tcW w:w="4062" w:type="dxa"/>
            <w:vAlign w:val="center"/>
          </w:tcPr>
          <w:p>
            <w:pPr>
              <w:keepNext w:val="0"/>
              <w:keepLines w:val="0"/>
              <w:pageBreakBefore w:val="0"/>
              <w:kinsoku/>
              <w:wordWrap/>
              <w:overflowPunct w:val="0"/>
              <w:topLinePunct w:val="0"/>
              <w:autoSpaceDE/>
              <w:autoSpaceDN/>
              <w:bidi w:val="0"/>
              <w:adjustRightInd w:val="0"/>
              <w:snapToGrid w:val="0"/>
              <w:spacing w:line="240" w:lineRule="atLeast"/>
              <w:ind w:left="0" w:leftChars="0" w:right="0" w:rightChars="0" w:firstLine="0" w:firstLineChars="0"/>
              <w:textAlignment w:val="auto"/>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rPr>
              <w:t>对断层水、煤层顶底板水、陷落柱水、地表水等威胁矿井生产的各种水害进行检测、诊断，发现异常及时预警预控</w:t>
            </w:r>
          </w:p>
        </w:tc>
        <w:tc>
          <w:tcPr>
            <w:tcW w:w="2844" w:type="dxa"/>
          </w:tcPr>
          <w:p>
            <w:pPr>
              <w:widowControl/>
              <w:adjustRightInd w:val="0"/>
              <w:snapToGrid w:val="0"/>
              <w:spacing w:line="280" w:lineRule="exact"/>
              <w:rPr>
                <w:rFonts w:hint="eastAsia" w:asciiTheme="majorEastAsia" w:hAnsiTheme="majorEastAsia" w:eastAsiaTheme="majorEastAsia" w:cstheme="majorEastAsia"/>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2147" w:hRule="atLeast"/>
          <w:jc w:val="center"/>
        </w:trPr>
        <w:tc>
          <w:tcPr>
            <w:tcW w:w="1161" w:type="dxa"/>
            <w:vMerge w:val="restart"/>
          </w:tcPr>
          <w:p>
            <w:pPr>
              <w:adjustRightInd w:val="0"/>
              <w:snapToGrid w:val="0"/>
              <w:jc w:val="center"/>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lang w:eastAsia="zh-CN"/>
              </w:rPr>
              <w:t>防治冲击地压</w:t>
            </w:r>
          </w:p>
        </w:tc>
        <w:tc>
          <w:tcPr>
            <w:tcW w:w="1164" w:type="dxa"/>
            <w:vAlign w:val="center"/>
          </w:tcPr>
          <w:p>
            <w:pPr>
              <w:spacing w:before="62" w:line="230" w:lineRule="auto"/>
              <w:jc w:val="center"/>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rPr>
              <w:t>制度保障</w:t>
            </w:r>
          </w:p>
        </w:tc>
        <w:tc>
          <w:tcPr>
            <w:tcW w:w="4487" w:type="dxa"/>
            <w:vAlign w:val="center"/>
          </w:tcPr>
          <w:p>
            <w:pPr>
              <w:widowControl/>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1.建立并落实冲击地压防治安全技术管理、监测数据分析、预警处置、防冲培训、事故报告、危险区域人员准入等制度；</w:t>
            </w:r>
          </w:p>
          <w:p>
            <w:pPr>
              <w:widowControl/>
              <w:overflowPunct w:val="0"/>
              <w:adjustRightInd w:val="0"/>
              <w:snapToGrid w:val="0"/>
              <w:jc w:val="left"/>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sz w:val="21"/>
                <w:szCs w:val="21"/>
                <w:highlight w:val="none"/>
                <w:lang w:val="en-US" w:eastAsia="zh-CN" w:bidi="ar-SA"/>
              </w:rPr>
              <w:t>2.建立专业例会、防冲工程验收等制度。</w:t>
            </w:r>
          </w:p>
        </w:tc>
        <w:tc>
          <w:tcPr>
            <w:tcW w:w="4062" w:type="dxa"/>
            <w:vAlign w:val="center"/>
          </w:tcPr>
          <w:p>
            <w:pPr>
              <w:widowControl/>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1.建立冲击地压防治安全技术管理制度、冲击地压防治培训制度、冲击地压事故报告制度，建立实时预警、处置调度和处理结果反馈制度；</w:t>
            </w:r>
          </w:p>
          <w:p>
            <w:pPr>
              <w:widowControl/>
              <w:jc w:val="left"/>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sz w:val="21"/>
                <w:szCs w:val="21"/>
                <w:highlight w:val="none"/>
              </w:rPr>
              <w:t>2.冲击地压矿井每周召开1次防冲分析会，防冲技术人员每天对防冲工作分析1次</w:t>
            </w:r>
            <w:r>
              <w:rPr>
                <w:rFonts w:hint="eastAsia" w:asciiTheme="majorEastAsia" w:hAnsiTheme="majorEastAsia" w:eastAsiaTheme="majorEastAsia" w:cstheme="majorEastAsia"/>
                <w:sz w:val="21"/>
                <w:szCs w:val="21"/>
                <w:highlight w:val="none"/>
                <w:lang w:eastAsia="zh-CN"/>
              </w:rPr>
              <w:t>。</w:t>
            </w:r>
          </w:p>
        </w:tc>
        <w:tc>
          <w:tcPr>
            <w:tcW w:w="2844" w:type="dxa"/>
            <w:vAlign w:val="center"/>
          </w:tcPr>
          <w:p>
            <w:pPr>
              <w:spacing w:before="11" w:line="225" w:lineRule="auto"/>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sz w:val="21"/>
                <w:szCs w:val="21"/>
                <w:highlight w:val="none"/>
                <w:lang w:val="en-US" w:eastAsia="zh-CN"/>
              </w:rPr>
              <w:t>1.增加了</w:t>
            </w:r>
            <w:r>
              <w:rPr>
                <w:rFonts w:hint="eastAsia" w:asciiTheme="majorEastAsia" w:hAnsiTheme="majorEastAsia" w:eastAsiaTheme="majorEastAsia" w:cstheme="majorEastAsia"/>
                <w:color w:val="auto"/>
                <w:sz w:val="21"/>
                <w:szCs w:val="21"/>
                <w:highlight w:val="none"/>
              </w:rPr>
              <w:t>监测数据分析</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人员准入</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bidi="ar-SA"/>
              </w:rPr>
              <w:t>防冲工程验收制度，</w:t>
            </w:r>
            <w:r>
              <w:rPr>
                <w:rFonts w:hint="eastAsia" w:asciiTheme="majorEastAsia" w:hAnsiTheme="majorEastAsia" w:eastAsiaTheme="majorEastAsia" w:cstheme="majorEastAsia"/>
                <w:color w:val="auto"/>
                <w:sz w:val="21"/>
                <w:szCs w:val="21"/>
                <w:highlight w:val="none"/>
                <w:lang w:val="en-US" w:eastAsia="zh-CN"/>
              </w:rPr>
              <w:t>不断完善</w:t>
            </w:r>
            <w:r>
              <w:rPr>
                <w:rFonts w:hint="eastAsia" w:asciiTheme="majorEastAsia" w:hAnsiTheme="majorEastAsia" w:eastAsiaTheme="majorEastAsia" w:cstheme="majorEastAsia"/>
                <w:color w:val="auto"/>
                <w:sz w:val="21"/>
                <w:szCs w:val="21"/>
                <w:highlight w:val="none"/>
                <w:lang w:val="en-US" w:eastAsia="zh-CN" w:bidi="ar-SA"/>
              </w:rPr>
              <w:t>各类制度。</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2491" w:hRule="atLeast"/>
          <w:jc w:val="center"/>
        </w:trPr>
        <w:tc>
          <w:tcPr>
            <w:tcW w:w="1161" w:type="dxa"/>
            <w:vMerge w:val="continue"/>
          </w:tcPr>
          <w:p>
            <w:pPr>
              <w:adjustRightInd w:val="0"/>
              <w:snapToGrid w:val="0"/>
              <w:jc w:val="center"/>
              <w:rPr>
                <w:rFonts w:hint="eastAsia" w:asciiTheme="majorEastAsia" w:hAnsiTheme="majorEastAsia" w:eastAsiaTheme="majorEastAsia" w:cstheme="majorEastAsia"/>
                <w:sz w:val="21"/>
                <w:szCs w:val="21"/>
                <w:highlight w:val="none"/>
              </w:rPr>
            </w:pPr>
          </w:p>
        </w:tc>
        <w:tc>
          <w:tcPr>
            <w:tcW w:w="1164" w:type="dxa"/>
            <w:vAlign w:val="center"/>
          </w:tcPr>
          <w:p>
            <w:pPr>
              <w:spacing w:before="62" w:line="230" w:lineRule="auto"/>
              <w:jc w:val="center"/>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基础管理</w:t>
            </w:r>
          </w:p>
        </w:tc>
        <w:tc>
          <w:tcPr>
            <w:tcW w:w="4487" w:type="dxa"/>
            <w:vAlign w:val="center"/>
          </w:tcPr>
          <w:p>
            <w:pPr>
              <w:widowControl/>
              <w:jc w:val="left"/>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kern w:val="0"/>
                <w:sz w:val="21"/>
                <w:szCs w:val="21"/>
                <w:highlight w:val="none"/>
                <w:lang w:val="en-US" w:eastAsia="zh-CN" w:bidi="ar-SA"/>
              </w:rPr>
              <w:t>1.开展煤层（岩层）冲击倾向性鉴定、冲击危险性评价，编制防冲设计，按规定审批，鉴定及评价结果报有关部门；冲击地压煤层开采应开展矿井、水平、采（盘）区、采掘工作面（含动压影响区域煤巷）冲击危险性评价、论证，编制防冲设计，审批</w:t>
            </w:r>
            <w:r>
              <w:rPr>
                <w:rFonts w:hint="eastAsia" w:asciiTheme="majorEastAsia" w:hAnsiTheme="majorEastAsia" w:eastAsiaTheme="majorEastAsia" w:cstheme="majorEastAsia"/>
                <w:sz w:val="21"/>
                <w:szCs w:val="21"/>
                <w:highlight w:val="none"/>
                <w:lang w:val="en-US" w:eastAsia="zh-CN"/>
              </w:rPr>
              <w:t>后执行；巷道扩修（指卧底、挑顶、扩帮等）制定专门防冲措施；</w:t>
            </w:r>
          </w:p>
          <w:p>
            <w:pPr>
              <w:widowControl/>
              <w:jc w:val="left"/>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sz w:val="21"/>
                <w:szCs w:val="21"/>
                <w:highlight w:val="none"/>
                <w:lang w:val="en-US" w:eastAsia="zh-CN"/>
              </w:rPr>
              <w:t>2.根据矿井地质、开采技术条件因素，结合监测预警分析等进行冲击地压类型划分。</w:t>
            </w:r>
          </w:p>
        </w:tc>
        <w:tc>
          <w:tcPr>
            <w:tcW w:w="4062" w:type="dxa"/>
            <w:vAlign w:val="center"/>
          </w:tcPr>
          <w:p>
            <w:pPr>
              <w:widowControl/>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1.按规定进行煤岩层冲击倾向性鉴定，开采具有冲击倾向性的煤层，应进行冲击危险性评价；</w:t>
            </w:r>
          </w:p>
          <w:p>
            <w:pPr>
              <w:widowControl/>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2.冲击地压矿井应编制中长期防冲规划与年度防冲计划；</w:t>
            </w:r>
          </w:p>
          <w:p>
            <w:pPr>
              <w:widowControl/>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3.按规定编制防冲专项设计,按程序进行审批；</w:t>
            </w:r>
          </w:p>
          <w:p>
            <w:pPr>
              <w:widowControl/>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4.冲击危险性预警指标按规定审批；</w:t>
            </w:r>
          </w:p>
          <w:p>
            <w:pPr>
              <w:widowControl/>
              <w:jc w:val="left"/>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sz w:val="21"/>
                <w:szCs w:val="21"/>
                <w:highlight w:val="none"/>
              </w:rPr>
              <w:t>5.有冲击地压危险的采掘工作面有防冲安全技术措施并按规定及时审批</w:t>
            </w:r>
            <w:r>
              <w:rPr>
                <w:rFonts w:hint="eastAsia" w:asciiTheme="majorEastAsia" w:hAnsiTheme="majorEastAsia" w:eastAsiaTheme="majorEastAsia" w:cstheme="majorEastAsia"/>
                <w:sz w:val="21"/>
                <w:szCs w:val="21"/>
                <w:highlight w:val="none"/>
                <w:lang w:eastAsia="zh-CN"/>
              </w:rPr>
              <w:t>。</w:t>
            </w:r>
          </w:p>
        </w:tc>
        <w:tc>
          <w:tcPr>
            <w:tcW w:w="2844" w:type="dxa"/>
            <w:vAlign w:val="center"/>
          </w:tcPr>
          <w:p>
            <w:pPr>
              <w:spacing w:before="11" w:line="225" w:lineRule="auto"/>
              <w:jc w:val="lef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1.删减了</w:t>
            </w:r>
            <w:r>
              <w:rPr>
                <w:rFonts w:hint="eastAsia" w:asciiTheme="majorEastAsia" w:hAnsiTheme="majorEastAsia" w:eastAsiaTheme="majorEastAsia" w:cstheme="majorEastAsia"/>
                <w:color w:val="auto"/>
                <w:kern w:val="0"/>
                <w:sz w:val="21"/>
                <w:szCs w:val="21"/>
                <w:highlight w:val="none"/>
              </w:rPr>
              <w:t>防冲中长期规划</w:t>
            </w:r>
            <w:r>
              <w:rPr>
                <w:rFonts w:hint="eastAsia" w:asciiTheme="majorEastAsia" w:hAnsiTheme="majorEastAsia" w:eastAsiaTheme="majorEastAsia" w:cstheme="majorEastAsia"/>
                <w:color w:val="auto"/>
                <w:kern w:val="0"/>
                <w:sz w:val="21"/>
                <w:szCs w:val="21"/>
                <w:highlight w:val="none"/>
                <w:lang w:eastAsia="zh-CN"/>
              </w:rPr>
              <w:t>、</w:t>
            </w:r>
            <w:r>
              <w:rPr>
                <w:rFonts w:hint="eastAsia" w:asciiTheme="majorEastAsia" w:hAnsiTheme="majorEastAsia" w:eastAsiaTheme="majorEastAsia" w:cstheme="majorEastAsia"/>
                <w:color w:val="auto"/>
                <w:kern w:val="0"/>
                <w:sz w:val="21"/>
                <w:szCs w:val="21"/>
                <w:highlight w:val="none"/>
              </w:rPr>
              <w:t>年度计划</w:t>
            </w:r>
            <w:r>
              <w:rPr>
                <w:rFonts w:hint="eastAsia" w:asciiTheme="majorEastAsia" w:hAnsiTheme="majorEastAsia" w:eastAsiaTheme="majorEastAsia" w:cstheme="majorEastAsia"/>
                <w:color w:val="auto"/>
                <w:kern w:val="0"/>
                <w:sz w:val="21"/>
                <w:szCs w:val="21"/>
                <w:highlight w:val="none"/>
                <w:lang w:val="en-US" w:eastAsia="zh-CN"/>
              </w:rPr>
              <w:t>及</w:t>
            </w:r>
            <w:r>
              <w:rPr>
                <w:rFonts w:hint="eastAsia" w:asciiTheme="majorEastAsia" w:hAnsiTheme="majorEastAsia" w:eastAsiaTheme="majorEastAsia" w:cstheme="majorEastAsia"/>
                <w:color w:val="auto"/>
                <w:kern w:val="0"/>
                <w:sz w:val="21"/>
                <w:szCs w:val="21"/>
                <w:highlight w:val="none"/>
              </w:rPr>
              <w:t>防冲安全技术措施</w:t>
            </w:r>
            <w:r>
              <w:rPr>
                <w:rFonts w:hint="eastAsia" w:asciiTheme="majorEastAsia" w:hAnsiTheme="majorEastAsia" w:eastAsiaTheme="majorEastAsia" w:cstheme="majorEastAsia"/>
                <w:color w:val="auto"/>
                <w:kern w:val="0"/>
                <w:sz w:val="21"/>
                <w:szCs w:val="21"/>
                <w:highlight w:val="none"/>
                <w:lang w:val="en-US" w:eastAsia="zh-CN"/>
              </w:rPr>
              <w:t>的编制、审批，增加并明确了巷道</w:t>
            </w:r>
            <w:r>
              <w:rPr>
                <w:rFonts w:hint="eastAsia" w:asciiTheme="majorEastAsia" w:hAnsiTheme="majorEastAsia" w:eastAsiaTheme="majorEastAsia" w:cstheme="majorEastAsia"/>
                <w:color w:val="auto"/>
                <w:sz w:val="21"/>
                <w:szCs w:val="21"/>
                <w:highlight w:val="none"/>
                <w:lang w:val="en-US" w:eastAsia="zh-CN"/>
              </w:rPr>
              <w:t>扩修的范围及措施。</w:t>
            </w:r>
          </w:p>
          <w:p>
            <w:pPr>
              <w:spacing w:before="11" w:line="225" w:lineRule="auto"/>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sz w:val="21"/>
                <w:szCs w:val="21"/>
                <w:highlight w:val="none"/>
                <w:lang w:val="en-US" w:eastAsia="zh-CN"/>
              </w:rPr>
              <w:t>2.出现巷道扩修及时编制防冲评价及相关措施。</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2801" w:hRule="atLeast"/>
          <w:jc w:val="center"/>
        </w:trPr>
        <w:tc>
          <w:tcPr>
            <w:tcW w:w="1161" w:type="dxa"/>
            <w:vMerge w:val="continue"/>
          </w:tcPr>
          <w:p>
            <w:pPr>
              <w:adjustRightInd w:val="0"/>
              <w:snapToGrid w:val="0"/>
              <w:jc w:val="center"/>
              <w:rPr>
                <w:rFonts w:hint="eastAsia" w:asciiTheme="majorEastAsia" w:hAnsiTheme="majorEastAsia" w:eastAsiaTheme="majorEastAsia" w:cstheme="majorEastAsia"/>
                <w:sz w:val="21"/>
                <w:szCs w:val="21"/>
                <w:highlight w:val="none"/>
              </w:rPr>
            </w:pPr>
          </w:p>
        </w:tc>
        <w:tc>
          <w:tcPr>
            <w:tcW w:w="1164" w:type="dxa"/>
            <w:vAlign w:val="center"/>
          </w:tcPr>
          <w:p>
            <w:pPr>
              <w:spacing w:before="62" w:line="230" w:lineRule="auto"/>
              <w:jc w:val="center"/>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sz w:val="21"/>
                <w:szCs w:val="21"/>
                <w:highlight w:val="none"/>
                <w:lang w:val="en-US" w:eastAsia="zh-CN"/>
              </w:rPr>
              <w:t>监测预警</w:t>
            </w:r>
          </w:p>
        </w:tc>
        <w:tc>
          <w:tcPr>
            <w:tcW w:w="4487" w:type="dxa"/>
            <w:vAlign w:val="center"/>
          </w:tcPr>
          <w:p>
            <w:pPr>
              <w:widowControl/>
              <w:jc w:val="left"/>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1.建立区域、局部监测系统，传感器布置合理、运行正常；</w:t>
            </w:r>
          </w:p>
          <w:p>
            <w:pPr>
              <w:widowControl/>
              <w:jc w:val="left"/>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2.冲击危险区应至少采用2种局部监测方法，强冲击区应至少再增加一种局部监测（具备条件的优先采用钻屑监测），监测有效落实；</w:t>
            </w:r>
          </w:p>
          <w:p>
            <w:pPr>
              <w:widowControl/>
              <w:jc w:val="left"/>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3.冲击危险性预警临界指标经煤矿企业审批后执行；指标与实际动力显现不一致时，应重新修订、审批；</w:t>
            </w:r>
          </w:p>
          <w:p>
            <w:pPr>
              <w:widowControl/>
              <w:jc w:val="left"/>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4.每天结合地质、开采技术条件对监测数据进行综合分析，判定危险程度，编制日报，经防冲负责人和总工程师签审后告知相关单位和人员；</w:t>
            </w:r>
          </w:p>
          <w:p>
            <w:pPr>
              <w:widowControl/>
              <w:jc w:val="left"/>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5.监测达到或超过预警临界指标时，应按规定实施解危，经效果检验无危险后方可作业。</w:t>
            </w:r>
          </w:p>
        </w:tc>
        <w:tc>
          <w:tcPr>
            <w:tcW w:w="4062" w:type="dxa"/>
            <w:vAlign w:val="center"/>
          </w:tcPr>
          <w:p>
            <w:pPr>
              <w:widowControl/>
              <w:jc w:val="left"/>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1.建立冲击地压区域监测和局部监测系统，实时监测冲击危险性；</w:t>
            </w:r>
          </w:p>
          <w:p>
            <w:pPr>
              <w:widowControl/>
              <w:jc w:val="left"/>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2.区域监测系统应覆盖矿井所有采掘区域，局部监测应覆盖冲击地压危险区域的采掘地点和煤（半煤岩）巷道、硐室等地点，经评价有冲击危险的采掘工作面应安装应力在线监测系统；</w:t>
            </w:r>
          </w:p>
          <w:p>
            <w:pPr>
              <w:widowControl/>
              <w:jc w:val="left"/>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3.监测系统运行正常，出现故障时及时处理；</w:t>
            </w:r>
          </w:p>
          <w:p>
            <w:pPr>
              <w:widowControl/>
              <w:jc w:val="left"/>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4.按规定确定冲击危险性预警临界指标，监测指标发现异常时，应采用钻屑法及时进行现场验证。</w:t>
            </w:r>
          </w:p>
        </w:tc>
        <w:tc>
          <w:tcPr>
            <w:tcW w:w="2844" w:type="dxa"/>
            <w:vAlign w:val="center"/>
          </w:tcPr>
          <w:p>
            <w:pPr>
              <w:spacing w:before="11" w:line="225" w:lineRule="auto"/>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1.对各类监测手段更明细化，加强对监测数据的分析。</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282" w:hRule="atLeast"/>
          <w:jc w:val="center"/>
        </w:trPr>
        <w:tc>
          <w:tcPr>
            <w:tcW w:w="1161" w:type="dxa"/>
            <w:vMerge w:val="continue"/>
          </w:tcPr>
          <w:p>
            <w:pPr>
              <w:adjustRightInd w:val="0"/>
              <w:snapToGrid w:val="0"/>
              <w:jc w:val="center"/>
              <w:rPr>
                <w:rFonts w:hint="eastAsia" w:asciiTheme="majorEastAsia" w:hAnsiTheme="majorEastAsia" w:eastAsiaTheme="majorEastAsia" w:cstheme="majorEastAsia"/>
                <w:sz w:val="21"/>
                <w:szCs w:val="21"/>
                <w:highlight w:val="none"/>
              </w:rPr>
            </w:pPr>
          </w:p>
        </w:tc>
        <w:tc>
          <w:tcPr>
            <w:tcW w:w="1164" w:type="dxa"/>
            <w:vAlign w:val="center"/>
          </w:tcPr>
          <w:p>
            <w:pPr>
              <w:spacing w:before="62" w:line="230" w:lineRule="auto"/>
              <w:jc w:val="center"/>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防治措施</w:t>
            </w:r>
          </w:p>
        </w:tc>
        <w:tc>
          <w:tcPr>
            <w:tcW w:w="4487" w:type="dxa"/>
            <w:vAlign w:val="center"/>
          </w:tcPr>
          <w:p>
            <w:pPr>
              <w:widowControl/>
              <w:jc w:val="left"/>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1.选择合理的开拓方式、采掘部署、巷道布置、开采顺序、煤柱留设、采煤方法、采煤工艺及开采保护层等区域措施；</w:t>
            </w:r>
          </w:p>
          <w:p>
            <w:pPr>
              <w:widowControl/>
              <w:jc w:val="left"/>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2.具备开采保护层条件的应优先开采保护层，强冲击煤层及冲击煤层强冲击采区、工作面具备开采保护层条件的必须先开采保护层；</w:t>
            </w:r>
          </w:p>
          <w:p>
            <w:pPr>
              <w:widowControl/>
              <w:jc w:val="left"/>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3.大巷（开拓、准备）、永久硐室（永久硐室指井底硐室、采区硐室等）布置符合规定，大巷在严重冲击地压煤层中，永久硐室在冲击地压煤层中应进行安全性论证；</w:t>
            </w:r>
          </w:p>
          <w:p>
            <w:pPr>
              <w:widowControl/>
              <w:jc w:val="left"/>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4.冲击地压煤层应当严格按顺序开采，不得留孤岛煤柱；采空区内不得留有煤柱，如果特殊情况必须在采空区留有煤柱时，应当进行安全性论证，报企业技术负责人审批并上图；</w:t>
            </w:r>
          </w:p>
          <w:p>
            <w:pPr>
              <w:widowControl/>
              <w:spacing w:line="240" w:lineRule="auto"/>
              <w:jc w:val="left"/>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5.工作面区段煤柱应优先选择无煤柱、小煤柱，采用大煤柱时应避开应力峰值区，煤柱大小应分析、明确；</w:t>
            </w:r>
          </w:p>
          <w:p>
            <w:pPr>
              <w:widowControl/>
              <w:spacing w:line="240" w:lineRule="auto"/>
              <w:jc w:val="left"/>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6.冲击地压采掘工作面（扩修作业）采动时空关系符合规定；</w:t>
            </w:r>
          </w:p>
          <w:p>
            <w:pPr>
              <w:widowControl/>
              <w:spacing w:line="240" w:lineRule="auto"/>
              <w:jc w:val="left"/>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7.工作面防冲设计应根据危险等级明确监测和治理（解危卸压）技术方法、推进速度、支护、停采线位置等要求，措施落实到位，解危处置符合规定；</w:t>
            </w:r>
          </w:p>
          <w:p>
            <w:pPr>
              <w:widowControl/>
              <w:spacing w:line="240" w:lineRule="auto"/>
              <w:jc w:val="left"/>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8.作业规程设防冲专章（篇），临近大型地质构造、采空区、应力集中区、掘进巷道贯通或错层交叉、解危卸压等应编制防冲专项措施，并落实到位；</w:t>
            </w:r>
          </w:p>
          <w:p>
            <w:pPr>
              <w:widowControl/>
              <w:jc w:val="left"/>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9.依据防冲要求及分析研判结果编制生产组织通知单，按程序审批后执行；</w:t>
            </w:r>
          </w:p>
          <w:p>
            <w:pPr>
              <w:widowControl/>
              <w:jc w:val="left"/>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10.建立防冲工程措施实施与验收等记录台账，保证防冲过程可追溯。</w:t>
            </w:r>
          </w:p>
        </w:tc>
        <w:tc>
          <w:tcPr>
            <w:tcW w:w="4062" w:type="dxa"/>
            <w:vAlign w:val="center"/>
          </w:tcPr>
          <w:p>
            <w:pPr>
              <w:widowControl/>
              <w:overflowPunct w:val="0"/>
              <w:adjustRightInd w:val="0"/>
              <w:snapToGrid w:val="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1.冲击地压矿井开拓方式、采掘部署、开采顺序、煤柱留设、巷道布置、采煤工艺及开采保护层等符合规定；保护层采空区原则不留煤柱，留设煤柱时，按规定审批，并及时上图；</w:t>
            </w:r>
          </w:p>
          <w:p>
            <w:pPr>
              <w:widowControl/>
              <w:overflowPunct w:val="0"/>
              <w:adjustRightInd w:val="0"/>
              <w:snapToGrid w:val="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2.钻机等各类装备满足矿井防冲工作需要；</w:t>
            </w:r>
          </w:p>
          <w:p>
            <w:pPr>
              <w:widowControl/>
              <w:overflowPunct w:val="0"/>
              <w:adjustRightInd w:val="0"/>
              <w:snapToGrid w:val="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lang w:val="en-US" w:eastAsia="zh-CN"/>
              </w:rPr>
              <w:t>3</w:t>
            </w:r>
            <w:r>
              <w:rPr>
                <w:rFonts w:hint="eastAsia" w:asciiTheme="majorEastAsia" w:hAnsiTheme="majorEastAsia" w:eastAsiaTheme="majorEastAsia" w:cstheme="majorEastAsia"/>
                <w:kern w:val="0"/>
                <w:sz w:val="21"/>
                <w:szCs w:val="21"/>
                <w:highlight w:val="none"/>
              </w:rPr>
              <w:t>.实施钻孔卸压时，钻孔孔深、孔径、孔距等参数应在设计中明确规定，并制定</w:t>
            </w:r>
            <w:r>
              <w:rPr>
                <w:rFonts w:hint="eastAsia" w:asciiTheme="majorEastAsia" w:hAnsiTheme="majorEastAsia" w:eastAsiaTheme="majorEastAsia" w:cstheme="majorEastAsia"/>
                <w:color w:val="333333"/>
                <w:kern w:val="0"/>
                <w:sz w:val="21"/>
                <w:szCs w:val="21"/>
                <w:highlight w:val="none"/>
              </w:rPr>
              <w:t>防止打钻诱发冲击伤人的</w:t>
            </w:r>
            <w:r>
              <w:rPr>
                <w:rFonts w:hint="eastAsia" w:asciiTheme="majorEastAsia" w:hAnsiTheme="majorEastAsia" w:eastAsiaTheme="majorEastAsia" w:cstheme="majorEastAsia"/>
                <w:kern w:val="0"/>
                <w:sz w:val="21"/>
                <w:szCs w:val="21"/>
                <w:highlight w:val="none"/>
              </w:rPr>
              <w:t>安全防护措施；</w:t>
            </w:r>
          </w:p>
          <w:p>
            <w:pPr>
              <w:widowControl/>
              <w:overflowPunct w:val="0"/>
              <w:adjustRightInd w:val="0"/>
              <w:snapToGrid w:val="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lang w:val="en-US" w:eastAsia="zh-CN"/>
              </w:rPr>
              <w:t>4</w:t>
            </w:r>
            <w:r>
              <w:rPr>
                <w:rFonts w:hint="eastAsia" w:asciiTheme="majorEastAsia" w:hAnsiTheme="majorEastAsia" w:eastAsiaTheme="majorEastAsia" w:cstheme="majorEastAsia"/>
                <w:kern w:val="0"/>
                <w:sz w:val="21"/>
                <w:szCs w:val="21"/>
                <w:highlight w:val="none"/>
              </w:rPr>
              <w:t>.实施爆破卸压时，装药方式、装药长度、装药量、封孔长度以及连线方式、起爆方式等参数应在设计中明确规定，并制定安全防护措施；</w:t>
            </w:r>
          </w:p>
          <w:p>
            <w:pPr>
              <w:widowControl/>
              <w:overflowPunct w:val="0"/>
              <w:adjustRightInd w:val="0"/>
              <w:snapToGrid w:val="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lang w:val="en-US" w:eastAsia="zh-CN"/>
              </w:rPr>
              <w:t>5</w:t>
            </w:r>
            <w:r>
              <w:rPr>
                <w:rFonts w:hint="eastAsia" w:asciiTheme="majorEastAsia" w:hAnsiTheme="majorEastAsia" w:eastAsiaTheme="majorEastAsia" w:cstheme="majorEastAsia"/>
                <w:kern w:val="0"/>
                <w:sz w:val="21"/>
                <w:szCs w:val="21"/>
                <w:highlight w:val="none"/>
              </w:rPr>
              <w:t>.实施煤层预注水时，注水方式、注水压力、注水时间等应在设计中明确规定；</w:t>
            </w:r>
          </w:p>
          <w:p>
            <w:pPr>
              <w:widowControl/>
              <w:overflowPunct w:val="0"/>
              <w:adjustRightInd w:val="0"/>
              <w:snapToGrid w:val="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lang w:val="en-US" w:eastAsia="zh-CN"/>
              </w:rPr>
              <w:t>6</w:t>
            </w:r>
            <w:r>
              <w:rPr>
                <w:rFonts w:hint="eastAsia" w:asciiTheme="majorEastAsia" w:hAnsiTheme="majorEastAsia" w:eastAsiaTheme="majorEastAsia" w:cstheme="majorEastAsia"/>
                <w:kern w:val="0"/>
                <w:sz w:val="21"/>
                <w:szCs w:val="21"/>
                <w:highlight w:val="none"/>
              </w:rPr>
              <w:t>.有冲击地压危险的采掘工作面推进速度应在作业规程中明确规定并执行；</w:t>
            </w:r>
          </w:p>
          <w:p>
            <w:pPr>
              <w:spacing w:before="62" w:line="247" w:lineRule="auto"/>
              <w:ind w:left="34" w:leftChars="0" w:right="14" w:rightChars="0" w:firstLine="3" w:firstLineChars="0"/>
              <w:jc w:val="left"/>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rPr>
              <w:t>7</w:t>
            </w:r>
            <w:r>
              <w:rPr>
                <w:rFonts w:hint="eastAsia" w:asciiTheme="majorEastAsia" w:hAnsiTheme="majorEastAsia" w:eastAsiaTheme="majorEastAsia" w:cstheme="majorEastAsia"/>
                <w:kern w:val="0"/>
                <w:sz w:val="21"/>
                <w:szCs w:val="21"/>
                <w:highlight w:val="none"/>
              </w:rPr>
              <w:t>.冲击地压危险工作面实施解危措施后，应进行效果检验</w:t>
            </w:r>
          </w:p>
        </w:tc>
        <w:tc>
          <w:tcPr>
            <w:tcW w:w="2844" w:type="dxa"/>
            <w:vAlign w:val="center"/>
          </w:tcPr>
          <w:p>
            <w:pPr>
              <w:widowControl/>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1.将区域与局部防治措施合并；</w:t>
            </w:r>
          </w:p>
          <w:p>
            <w:pPr>
              <w:widowControl/>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2.删除了钻机配备及卸压孔、爆破孔施工、煤层注水等参数要求，增加了开采保护层、大巷、永久硐室、孤岛煤柱的论证及区段煤柱、时空关系的要求，明确了防冲专项措施的具体条件。</w:t>
            </w:r>
          </w:p>
          <w:p>
            <w:pPr>
              <w:spacing w:after="720"/>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3.加强对论证和评价报告编制的质量控制，严格进行审查。</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662" w:hRule="atLeast"/>
          <w:jc w:val="center"/>
        </w:trPr>
        <w:tc>
          <w:tcPr>
            <w:tcW w:w="1161" w:type="dxa"/>
            <w:vMerge w:val="continue"/>
          </w:tcPr>
          <w:p>
            <w:pPr>
              <w:adjustRightInd w:val="0"/>
              <w:snapToGrid w:val="0"/>
              <w:jc w:val="center"/>
              <w:rPr>
                <w:rFonts w:hint="eastAsia" w:asciiTheme="majorEastAsia" w:hAnsiTheme="majorEastAsia" w:eastAsiaTheme="majorEastAsia" w:cstheme="majorEastAsia"/>
                <w:sz w:val="21"/>
                <w:szCs w:val="21"/>
                <w:highlight w:val="none"/>
              </w:rPr>
            </w:pPr>
          </w:p>
        </w:tc>
        <w:tc>
          <w:tcPr>
            <w:tcW w:w="1164" w:type="dxa"/>
            <w:vAlign w:val="center"/>
          </w:tcPr>
          <w:p>
            <w:pPr>
              <w:spacing w:before="62" w:line="230" w:lineRule="auto"/>
              <w:jc w:val="center"/>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安全防护</w:t>
            </w:r>
          </w:p>
        </w:tc>
        <w:tc>
          <w:tcPr>
            <w:tcW w:w="4487" w:type="dxa"/>
            <w:vAlign w:val="center"/>
          </w:tcPr>
          <w:p>
            <w:pPr>
              <w:widowControl/>
              <w:jc w:val="both"/>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1.冲击危险区支护范围、形式和强度符合规定；巷道断面缩小1/3或局部锚杆（索）崩断失效应及时扩修或补强支护；</w:t>
            </w:r>
          </w:p>
          <w:p>
            <w:pPr>
              <w:widowControl/>
              <w:jc w:val="both"/>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2.冲击危险区必须严格执行人员准入制度，明确规定人员进入的时间、区域和人数，井下现场设立管理站；</w:t>
            </w:r>
          </w:p>
          <w:p>
            <w:pPr>
              <w:widowControl/>
              <w:jc w:val="both"/>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3.设备布置（存放）、管线吊挂、个体防护、压风自救系统符合规定。</w:t>
            </w:r>
          </w:p>
        </w:tc>
        <w:tc>
          <w:tcPr>
            <w:tcW w:w="4062" w:type="dxa"/>
            <w:vAlign w:val="center"/>
          </w:tcPr>
          <w:p>
            <w:pPr>
              <w:widowControl/>
              <w:jc w:val="both"/>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1.爆破卸压作业的躲炮直线距离不小于300m，躲炮时间不小于30min；</w:t>
            </w:r>
          </w:p>
          <w:p>
            <w:pPr>
              <w:widowControl/>
              <w:jc w:val="both"/>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2.冲击危险区采取限员、限时措施，设置压风自救系统，设立醒目的防冲警示牌、防冲避灾路线图；</w:t>
            </w:r>
          </w:p>
          <w:p>
            <w:pPr>
              <w:widowControl/>
              <w:jc w:val="both"/>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3.评价为强冲击地压危险的区域不得存放备用材料和设备；巷道内杂物应清理干净，保持行走路线畅通；冲击地压危险区存放的设备、材料应采取固定措施，码放高度不应超过0.8m；大型设备、备用材料应存放在采掘应力集中区以外；</w:t>
            </w:r>
          </w:p>
          <w:p>
            <w:pPr>
              <w:widowControl/>
              <w:jc w:val="both"/>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4.冲击危险区各类管路应吊挂在巷道腰线以下，吊挂高度高于1.2m的必须采取固定措施,电缆吊挂应留有垂度；</w:t>
            </w:r>
          </w:p>
          <w:p>
            <w:pPr>
              <w:widowControl/>
              <w:jc w:val="both"/>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5.U型钢支架卡缆、螺栓等按规定采取防崩措施；</w:t>
            </w:r>
          </w:p>
          <w:p>
            <w:pPr>
              <w:widowControl/>
              <w:jc w:val="both"/>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6.加强冲击地压危险区巷道支护，采煤工作面两巷超前支护范围和支护强度符合作业规程规定；</w:t>
            </w:r>
          </w:p>
          <w:p>
            <w:pPr>
              <w:widowControl/>
              <w:jc w:val="both"/>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7.严重冲击地压危险区域采掘工作面作业人员佩戴个人防护装备。</w:t>
            </w:r>
          </w:p>
        </w:tc>
        <w:tc>
          <w:tcPr>
            <w:tcW w:w="2844" w:type="dxa"/>
            <w:vAlign w:val="center"/>
          </w:tcPr>
          <w:p>
            <w:pPr>
              <w:spacing w:before="11" w:line="225" w:lineRule="auto"/>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sz w:val="21"/>
                <w:szCs w:val="21"/>
                <w:highlight w:val="none"/>
                <w:lang w:val="en-US" w:eastAsia="zh-CN"/>
              </w:rPr>
              <w:t>1.删除了爆破卸压躲炮的要求、</w:t>
            </w:r>
            <w:r>
              <w:rPr>
                <w:rFonts w:hint="eastAsia" w:asciiTheme="majorEastAsia" w:hAnsiTheme="majorEastAsia" w:eastAsiaTheme="majorEastAsia" w:cstheme="majorEastAsia"/>
                <w:color w:val="auto"/>
                <w:kern w:val="0"/>
                <w:sz w:val="21"/>
                <w:szCs w:val="21"/>
                <w:highlight w:val="none"/>
                <w:lang w:val="en-US" w:eastAsia="zh-CN" w:bidi="ar-SA"/>
              </w:rPr>
              <w:t>警示牌、防冲避灾路线图及卡缆、螺栓等的防崩措施要求；</w:t>
            </w:r>
          </w:p>
          <w:p>
            <w:pPr>
              <w:pStyle w:val="11"/>
              <w:rPr>
                <w:rFonts w:hint="eastAsia" w:asciiTheme="majorEastAsia" w:hAnsiTheme="majorEastAsia" w:eastAsiaTheme="majorEastAsia" w:cstheme="majorEastAsia"/>
                <w:color w:val="auto"/>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2.增加了对扩修或补强支护的要求，出现该情况及时按要求进行评价，并按要求落实。</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2344" w:hRule="atLeast"/>
          <w:jc w:val="center"/>
        </w:trPr>
        <w:tc>
          <w:tcPr>
            <w:tcW w:w="1161" w:type="dxa"/>
            <w:vMerge w:val="continue"/>
          </w:tcPr>
          <w:p>
            <w:pPr>
              <w:adjustRightInd w:val="0"/>
              <w:snapToGrid w:val="0"/>
              <w:jc w:val="center"/>
              <w:rPr>
                <w:rFonts w:hint="eastAsia" w:asciiTheme="majorEastAsia" w:hAnsiTheme="majorEastAsia" w:eastAsiaTheme="majorEastAsia" w:cstheme="majorEastAsia"/>
                <w:sz w:val="21"/>
                <w:szCs w:val="21"/>
                <w:highlight w:val="none"/>
              </w:rPr>
            </w:pPr>
          </w:p>
        </w:tc>
        <w:tc>
          <w:tcPr>
            <w:tcW w:w="1164" w:type="dxa"/>
            <w:vAlign w:val="center"/>
          </w:tcPr>
          <w:p>
            <w:pPr>
              <w:spacing w:before="62" w:line="230" w:lineRule="auto"/>
              <w:jc w:val="center"/>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rPr>
              <w:t>台账资料</w:t>
            </w:r>
          </w:p>
        </w:tc>
        <w:tc>
          <w:tcPr>
            <w:tcW w:w="4487" w:type="dxa"/>
            <w:vAlign w:val="center"/>
          </w:tcPr>
          <w:p>
            <w:pPr>
              <w:widowControl/>
              <w:jc w:val="center"/>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w:t>
            </w:r>
          </w:p>
        </w:tc>
        <w:tc>
          <w:tcPr>
            <w:tcW w:w="4062" w:type="dxa"/>
            <w:vAlign w:val="center"/>
          </w:tcPr>
          <w:p>
            <w:pPr>
              <w:widowControl/>
              <w:overflowPunct w:val="0"/>
              <w:adjustRightInd w:val="0"/>
              <w:snapToGrid w:val="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1.作业规程中防冲措施编制内容齐全、规范，图文清楚、保存完好，执行、考核记录齐全；</w:t>
            </w:r>
          </w:p>
          <w:p>
            <w:pPr>
              <w:widowControl/>
              <w:overflowPunct w:val="0"/>
              <w:adjustRightInd w:val="0"/>
              <w:snapToGrid w:val="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2.建立钻孔、爆破、注水等施工参数台账，上图管理；</w:t>
            </w:r>
          </w:p>
          <w:p>
            <w:pPr>
              <w:overflowPunct w:val="0"/>
              <w:adjustRightInd w:val="0"/>
              <w:snapToGrid w:val="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3.现场作业记录齐全、真实、有据可查，报表、阶段性工作总结齐全、规范；</w:t>
            </w:r>
          </w:p>
          <w:p>
            <w:pPr>
              <w:widowControl/>
              <w:overflowPunct w:val="0"/>
              <w:adjustRightInd w:val="0"/>
              <w:snapToGrid w:val="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4.建立冲击地压记录卡和统计表；</w:t>
            </w:r>
          </w:p>
          <w:p>
            <w:pPr>
              <w:widowControl/>
              <w:jc w:val="both"/>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rPr>
              <w:t>5.冲击地压危险区域必须进行日常实时监测，并编制监测日报</w:t>
            </w:r>
            <w:r>
              <w:rPr>
                <w:rFonts w:hint="eastAsia" w:asciiTheme="majorEastAsia" w:hAnsiTheme="majorEastAsia" w:eastAsiaTheme="majorEastAsia" w:cstheme="majorEastAsia"/>
                <w:kern w:val="0"/>
                <w:sz w:val="21"/>
                <w:szCs w:val="21"/>
                <w:highlight w:val="none"/>
                <w:lang w:eastAsia="zh-CN"/>
              </w:rPr>
              <w:t>。</w:t>
            </w:r>
          </w:p>
        </w:tc>
        <w:tc>
          <w:tcPr>
            <w:tcW w:w="2844" w:type="dxa"/>
            <w:vAlign w:val="center"/>
          </w:tcPr>
          <w:p>
            <w:pPr>
              <w:spacing w:before="11" w:line="225" w:lineRule="auto"/>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sz w:val="21"/>
                <w:szCs w:val="21"/>
                <w:highlight w:val="none"/>
                <w:lang w:val="en-US" w:eastAsia="zh-CN"/>
              </w:rPr>
              <w:t>1.删除了该项。</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2147" w:hRule="atLeast"/>
          <w:jc w:val="center"/>
        </w:trPr>
        <w:tc>
          <w:tcPr>
            <w:tcW w:w="1161" w:type="dxa"/>
            <w:vMerge w:val="continue"/>
          </w:tcPr>
          <w:p>
            <w:pPr>
              <w:adjustRightInd w:val="0"/>
              <w:snapToGrid w:val="0"/>
              <w:jc w:val="center"/>
              <w:rPr>
                <w:rFonts w:hint="eastAsia" w:asciiTheme="majorEastAsia" w:hAnsiTheme="majorEastAsia" w:eastAsiaTheme="majorEastAsia" w:cstheme="majorEastAsia"/>
                <w:sz w:val="21"/>
                <w:szCs w:val="21"/>
                <w:highlight w:val="none"/>
              </w:rPr>
            </w:pPr>
          </w:p>
        </w:tc>
        <w:tc>
          <w:tcPr>
            <w:tcW w:w="1164" w:type="dxa"/>
            <w:vAlign w:val="center"/>
          </w:tcPr>
          <w:p>
            <w:pPr>
              <w:adjustRightInd w:val="0"/>
              <w:snapToGrid w:val="0"/>
              <w:jc w:val="center"/>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rPr>
              <w:t>科技攻关</w:t>
            </w:r>
          </w:p>
        </w:tc>
        <w:tc>
          <w:tcPr>
            <w:tcW w:w="4487" w:type="dxa"/>
            <w:vAlign w:val="center"/>
          </w:tcPr>
          <w:p>
            <w:pPr>
              <w:widowControl/>
              <w:jc w:val="both"/>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rPr>
              <w:t>1.</w:t>
            </w:r>
            <w:r>
              <w:rPr>
                <w:rFonts w:hint="eastAsia" w:asciiTheme="majorEastAsia" w:hAnsiTheme="majorEastAsia" w:eastAsiaTheme="majorEastAsia" w:cstheme="majorEastAsia"/>
                <w:kern w:val="0"/>
                <w:sz w:val="21"/>
                <w:szCs w:val="21"/>
                <w:highlight w:val="none"/>
              </w:rPr>
              <w:t>考核周期内，重大灾害治理科技成果获得省部级以上奖励</w:t>
            </w:r>
            <w:r>
              <w:rPr>
                <w:rFonts w:hint="eastAsia" w:asciiTheme="majorEastAsia" w:hAnsiTheme="majorEastAsia" w:eastAsiaTheme="majorEastAsia" w:cstheme="majorEastAsia"/>
                <w:kern w:val="0"/>
                <w:sz w:val="21"/>
                <w:szCs w:val="21"/>
                <w:highlight w:val="none"/>
                <w:lang w:eastAsia="zh-CN"/>
              </w:rPr>
              <w:t>。</w:t>
            </w:r>
          </w:p>
        </w:tc>
        <w:tc>
          <w:tcPr>
            <w:tcW w:w="4062" w:type="dxa"/>
            <w:vAlign w:val="center"/>
          </w:tcPr>
          <w:p>
            <w:pPr>
              <w:widowControl/>
              <w:adjustRightInd w:val="0"/>
              <w:snapToGrid w:val="0"/>
              <w:spacing w:line="280" w:lineRule="exact"/>
              <w:jc w:val="center"/>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w:t>
            </w:r>
          </w:p>
        </w:tc>
        <w:tc>
          <w:tcPr>
            <w:tcW w:w="2844" w:type="dxa"/>
            <w:vAlign w:val="center"/>
          </w:tcPr>
          <w:p>
            <w:pPr>
              <w:spacing w:before="11" w:line="225" w:lineRule="auto"/>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sz w:val="21"/>
                <w:szCs w:val="21"/>
                <w:highlight w:val="none"/>
                <w:lang w:val="en-US" w:eastAsia="zh-CN"/>
              </w:rPr>
              <w:t>1.加强与科研院校的合作，持续开展科研项目研究，进一步提升冲击地压防治技术的创新能力和应用水平。</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2157" w:hRule="atLeast"/>
          <w:jc w:val="center"/>
        </w:trPr>
        <w:tc>
          <w:tcPr>
            <w:tcW w:w="1161" w:type="dxa"/>
            <w:textDirection w:val="tbRlV"/>
            <w:vAlign w:val="center"/>
          </w:tcPr>
          <w:p>
            <w:pPr>
              <w:adjustRightInd w:val="0"/>
              <w:snapToGrid w:val="0"/>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附加项</w:t>
            </w:r>
          </w:p>
          <w:p>
            <w:pPr>
              <w:adjustRightInd w:val="0"/>
              <w:snapToGrid w:val="0"/>
              <w:jc w:val="center"/>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sz w:val="21"/>
                <w:szCs w:val="21"/>
                <w:highlight w:val="none"/>
              </w:rPr>
              <w:t>（2分）</w:t>
            </w:r>
          </w:p>
        </w:tc>
        <w:tc>
          <w:tcPr>
            <w:tcW w:w="1164" w:type="dxa"/>
            <w:vAlign w:val="center"/>
          </w:tcPr>
          <w:p>
            <w:pPr>
              <w:adjustRightInd w:val="0"/>
              <w:snapToGrid w:val="0"/>
              <w:jc w:val="center"/>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rPr>
              <w:t>科技攻关</w:t>
            </w:r>
          </w:p>
        </w:tc>
        <w:tc>
          <w:tcPr>
            <w:tcW w:w="4487" w:type="dxa"/>
            <w:vAlign w:val="center"/>
          </w:tcPr>
          <w:p>
            <w:pPr>
              <w:widowControl/>
              <w:adjustRightInd w:val="0"/>
              <w:snapToGrid w:val="0"/>
              <w:spacing w:line="280" w:lineRule="exact"/>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rPr>
              <w:t>考核周期内，</w:t>
            </w:r>
            <w:r>
              <w:rPr>
                <w:rFonts w:hint="eastAsia" w:asciiTheme="majorEastAsia" w:hAnsiTheme="majorEastAsia" w:eastAsiaTheme="majorEastAsia" w:cstheme="majorEastAsia"/>
                <w:color w:val="0000FF"/>
                <w:kern w:val="0"/>
                <w:sz w:val="21"/>
                <w:szCs w:val="21"/>
                <w:highlight w:val="none"/>
              </w:rPr>
              <w:t>重大灾害治理科技成果获得省部级以上奖励</w:t>
            </w:r>
          </w:p>
        </w:tc>
        <w:tc>
          <w:tcPr>
            <w:tcW w:w="4062" w:type="dxa"/>
            <w:vAlign w:val="center"/>
          </w:tcPr>
          <w:p>
            <w:pPr>
              <w:widowControl/>
              <w:jc w:val="left"/>
              <w:textAlignment w:val="center"/>
              <w:rPr>
                <w:rFonts w:hint="eastAsia" w:asciiTheme="majorEastAsia" w:hAnsiTheme="majorEastAsia" w:eastAsiaTheme="majorEastAsia" w:cstheme="majorEastAsia"/>
                <w:kern w:val="0"/>
                <w:sz w:val="21"/>
                <w:szCs w:val="21"/>
                <w:highlight w:val="none"/>
                <w:lang w:val="en-US" w:eastAsia="zh-CN" w:bidi="ar-SA"/>
              </w:rPr>
            </w:pPr>
          </w:p>
        </w:tc>
        <w:tc>
          <w:tcPr>
            <w:tcW w:w="2844" w:type="dxa"/>
            <w:vAlign w:val="center"/>
          </w:tcPr>
          <w:p>
            <w:pPr>
              <w:widowControl/>
              <w:adjustRightInd w:val="0"/>
              <w:snapToGrid w:val="0"/>
              <w:spacing w:line="280" w:lineRule="exac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rPr>
              <w:t>新增</w:t>
            </w:r>
          </w:p>
        </w:tc>
      </w:tr>
    </w:tbl>
    <w:p>
      <w:pPr>
        <w:jc w:val="center"/>
        <w:rPr>
          <w:rFonts w:hint="eastAsia" w:ascii="宋体" w:hAnsi="宋体" w:eastAsia="宋体" w:cs="宋体"/>
          <w:b/>
          <w:bCs/>
          <w:sz w:val="32"/>
          <w:szCs w:val="32"/>
          <w:highlight w:val="none"/>
        </w:rPr>
        <w:sectPr>
          <w:pgSz w:w="16838" w:h="11906" w:orient="landscape"/>
          <w:pgMar w:top="1800" w:right="1440" w:bottom="1800" w:left="1440" w:header="851" w:footer="992" w:gutter="0"/>
          <w:cols w:space="425" w:num="1"/>
          <w:docGrid w:type="lines" w:linePitch="312" w:charSpace="0"/>
        </w:sectPr>
      </w:pPr>
    </w:p>
    <w:p>
      <w:pPr>
        <w:widowControl w:val="0"/>
        <w:tabs>
          <w:tab w:val="center" w:pos="4201"/>
          <w:tab w:val="right" w:leader="dot" w:pos="9298"/>
        </w:tabs>
        <w:autoSpaceDE/>
        <w:autoSpaceDN/>
        <w:spacing w:line="560" w:lineRule="exact"/>
        <w:ind w:firstLine="0" w:firstLineChars="0"/>
        <w:jc w:val="center"/>
        <w:rPr>
          <w:rFonts w:hint="eastAsia" w:ascii="宋体" w:hAnsi="宋体" w:eastAsia="宋体" w:cs="宋体"/>
          <w:sz w:val="32"/>
          <w:szCs w:val="32"/>
          <w:highlight w:val="none"/>
          <w:lang w:val="en-US" w:eastAsia="zh-CN" w:bidi="ar-SA"/>
        </w:rPr>
      </w:pPr>
      <w:r>
        <w:rPr>
          <w:rFonts w:hint="eastAsia" w:ascii="宋体" w:hAnsi="宋体" w:eastAsia="宋体" w:cs="宋体"/>
          <w:b/>
          <w:bCs/>
          <w:sz w:val="32"/>
          <w:szCs w:val="32"/>
          <w:highlight w:val="none"/>
          <w:lang w:val="en-US" w:eastAsia="zh-CN" w:bidi="ar-SA"/>
        </w:rPr>
        <w:t>3、煤矿</w:t>
      </w:r>
      <w:r>
        <w:rPr>
          <w:rFonts w:hint="eastAsia" w:ascii="宋体" w:hAnsi="宋体" w:eastAsia="宋体" w:cs="宋体"/>
          <w:b/>
          <w:bCs/>
          <w:color w:val="FF0000"/>
          <w:sz w:val="32"/>
          <w:szCs w:val="32"/>
          <w:highlight w:val="none"/>
          <w:lang w:val="en-US" w:eastAsia="zh-CN" w:bidi="ar-SA"/>
        </w:rPr>
        <w:t>通风</w:t>
      </w:r>
      <w:r>
        <w:rPr>
          <w:rFonts w:hint="eastAsia" w:ascii="宋体" w:hAnsi="宋体" w:eastAsia="宋体" w:cs="宋体"/>
          <w:b/>
          <w:bCs/>
          <w:sz w:val="32"/>
          <w:szCs w:val="32"/>
          <w:highlight w:val="none"/>
          <w:lang w:val="en-US" w:eastAsia="zh-CN" w:bidi="ar-SA"/>
        </w:rPr>
        <w:t>标准化评分表</w:t>
      </w:r>
    </w:p>
    <w:tbl>
      <w:tblPr>
        <w:tblStyle w:val="8"/>
        <w:tblW w:w="13938"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019"/>
        <w:gridCol w:w="1065"/>
        <w:gridCol w:w="4901"/>
        <w:gridCol w:w="3943"/>
        <w:gridCol w:w="3010"/>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661" w:hRule="atLeast"/>
          <w:tblHeader/>
        </w:trPr>
        <w:tc>
          <w:tcPr>
            <w:tcW w:w="1019" w:type="dxa"/>
            <w:tcBorders>
              <w:tl2br w:val="nil"/>
              <w:tr2bl w:val="nil"/>
            </w:tcBorders>
            <w:vAlign w:val="center"/>
          </w:tcPr>
          <w:p>
            <w:pPr>
              <w:widowControl/>
              <w:jc w:val="center"/>
              <w:textAlignment w:val="center"/>
              <w:rPr>
                <w:rFonts w:hint="eastAsia" w:asciiTheme="majorEastAsia" w:hAnsiTheme="majorEastAsia" w:eastAsiaTheme="majorEastAsia" w:cstheme="majorEastAsia"/>
                <w:b/>
                <w:bCs/>
                <w:sz w:val="21"/>
                <w:szCs w:val="21"/>
                <w:highlight w:val="none"/>
              </w:rPr>
            </w:pPr>
            <w:r>
              <w:rPr>
                <w:rFonts w:hint="eastAsia" w:asciiTheme="majorEastAsia" w:hAnsiTheme="majorEastAsia" w:eastAsiaTheme="majorEastAsia" w:cstheme="majorEastAsia"/>
                <w:b/>
                <w:bCs/>
                <w:sz w:val="21"/>
                <w:szCs w:val="21"/>
                <w:highlight w:val="none"/>
              </w:rPr>
              <w:t>项目</w:t>
            </w:r>
          </w:p>
        </w:tc>
        <w:tc>
          <w:tcPr>
            <w:tcW w:w="1065" w:type="dxa"/>
            <w:tcBorders>
              <w:tl2br w:val="nil"/>
              <w:tr2bl w:val="nil"/>
            </w:tcBorders>
            <w:vAlign w:val="center"/>
          </w:tcPr>
          <w:p>
            <w:pPr>
              <w:widowControl/>
              <w:jc w:val="center"/>
              <w:textAlignment w:val="center"/>
              <w:rPr>
                <w:rFonts w:hint="eastAsia" w:asciiTheme="majorEastAsia" w:hAnsiTheme="majorEastAsia" w:eastAsiaTheme="majorEastAsia" w:cstheme="majorEastAsia"/>
                <w:b/>
                <w:bCs/>
                <w:sz w:val="21"/>
                <w:szCs w:val="21"/>
                <w:highlight w:val="none"/>
              </w:rPr>
            </w:pPr>
            <w:r>
              <w:rPr>
                <w:rFonts w:hint="eastAsia" w:asciiTheme="majorEastAsia" w:hAnsiTheme="majorEastAsia" w:eastAsiaTheme="majorEastAsia" w:cstheme="majorEastAsia"/>
                <w:b/>
                <w:bCs/>
                <w:sz w:val="21"/>
                <w:szCs w:val="21"/>
                <w:highlight w:val="none"/>
              </w:rPr>
              <w:t>项目内容</w:t>
            </w:r>
          </w:p>
        </w:tc>
        <w:tc>
          <w:tcPr>
            <w:tcW w:w="4901" w:type="dxa"/>
            <w:tcBorders>
              <w:tl2br w:val="nil"/>
              <w:tr2bl w:val="nil"/>
            </w:tcBorders>
            <w:vAlign w:val="center"/>
          </w:tcPr>
          <w:p>
            <w:pPr>
              <w:widowControl/>
              <w:jc w:val="center"/>
              <w:textAlignment w:val="center"/>
              <w:rPr>
                <w:rFonts w:hint="eastAsia" w:asciiTheme="majorEastAsia" w:hAnsiTheme="majorEastAsia" w:eastAsiaTheme="majorEastAsia" w:cstheme="majorEastAsia"/>
                <w:b/>
                <w:bCs/>
                <w:sz w:val="21"/>
                <w:szCs w:val="21"/>
                <w:highlight w:val="none"/>
              </w:rPr>
            </w:pPr>
            <w:r>
              <w:rPr>
                <w:rFonts w:hint="eastAsia" w:asciiTheme="majorEastAsia" w:hAnsiTheme="majorEastAsia" w:eastAsiaTheme="majorEastAsia" w:cstheme="majorEastAsia"/>
                <w:b/>
                <w:bCs/>
                <w:kern w:val="0"/>
                <w:sz w:val="21"/>
                <w:szCs w:val="21"/>
                <w:highlight w:val="none"/>
                <w:lang w:val="en-US" w:eastAsia="zh-CN"/>
              </w:rPr>
              <w:t>2024版</w:t>
            </w:r>
            <w:r>
              <w:rPr>
                <w:rFonts w:hint="eastAsia" w:asciiTheme="majorEastAsia" w:hAnsiTheme="majorEastAsia" w:eastAsiaTheme="majorEastAsia" w:cstheme="majorEastAsia"/>
                <w:b/>
                <w:bCs/>
                <w:kern w:val="0"/>
                <w:sz w:val="21"/>
                <w:szCs w:val="21"/>
                <w:highlight w:val="none"/>
              </w:rPr>
              <w:t>基本要求</w:t>
            </w:r>
          </w:p>
        </w:tc>
        <w:tc>
          <w:tcPr>
            <w:tcW w:w="3943" w:type="dxa"/>
            <w:tcBorders>
              <w:tl2br w:val="nil"/>
              <w:tr2bl w:val="nil"/>
            </w:tcBorders>
            <w:vAlign w:val="center"/>
          </w:tcPr>
          <w:p>
            <w:pPr>
              <w:widowControl/>
              <w:jc w:val="center"/>
              <w:textAlignment w:val="center"/>
              <w:rPr>
                <w:rFonts w:hint="eastAsia" w:asciiTheme="majorEastAsia" w:hAnsiTheme="majorEastAsia" w:eastAsiaTheme="majorEastAsia" w:cstheme="majorEastAsia"/>
                <w:b/>
                <w:bCs/>
                <w:sz w:val="21"/>
                <w:szCs w:val="21"/>
                <w:highlight w:val="none"/>
              </w:rPr>
            </w:pPr>
            <w:r>
              <w:rPr>
                <w:rFonts w:hint="eastAsia" w:asciiTheme="majorEastAsia" w:hAnsiTheme="majorEastAsia" w:eastAsiaTheme="majorEastAsia" w:cstheme="majorEastAsia"/>
                <w:b/>
                <w:bCs/>
                <w:kern w:val="0"/>
                <w:sz w:val="21"/>
                <w:szCs w:val="21"/>
                <w:highlight w:val="none"/>
                <w:lang w:val="en-US" w:eastAsia="zh-CN"/>
              </w:rPr>
              <w:t>2020版</w:t>
            </w:r>
            <w:r>
              <w:rPr>
                <w:rFonts w:hint="eastAsia" w:asciiTheme="majorEastAsia" w:hAnsiTheme="majorEastAsia" w:eastAsiaTheme="majorEastAsia" w:cstheme="majorEastAsia"/>
                <w:b/>
                <w:bCs/>
                <w:kern w:val="0"/>
                <w:sz w:val="21"/>
                <w:szCs w:val="21"/>
                <w:highlight w:val="none"/>
              </w:rPr>
              <w:t>基本要求</w:t>
            </w:r>
          </w:p>
        </w:tc>
        <w:tc>
          <w:tcPr>
            <w:tcW w:w="3010" w:type="dxa"/>
            <w:tcBorders>
              <w:tl2br w:val="nil"/>
              <w:tr2bl w:val="nil"/>
            </w:tcBorders>
            <w:vAlign w:val="center"/>
          </w:tcPr>
          <w:p>
            <w:pPr>
              <w:widowControl/>
              <w:jc w:val="center"/>
              <w:textAlignment w:val="center"/>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kern w:val="0"/>
                <w:sz w:val="21"/>
                <w:szCs w:val="21"/>
                <w:highlight w:val="none"/>
                <w:lang w:val="en-US" w:eastAsia="zh-CN"/>
              </w:rPr>
              <w:t>变化</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6473" w:hRule="atLeast"/>
        </w:trPr>
        <w:tc>
          <w:tcPr>
            <w:tcW w:w="1019" w:type="dxa"/>
            <w:vMerge w:val="restart"/>
            <w:tcBorders>
              <w:tl2br w:val="nil"/>
              <w:tr2bl w:val="nil"/>
            </w:tcBorders>
            <w:textDirection w:val="tbRlV"/>
            <w:vAlign w:val="center"/>
          </w:tcPr>
          <w:p>
            <w:pPr>
              <w:widowControl/>
              <w:jc w:val="center"/>
              <w:textAlignment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kern w:val="0"/>
                <w:sz w:val="21"/>
                <w:szCs w:val="21"/>
                <w:highlight w:val="none"/>
              </w:rPr>
              <w:t>一、通风（35分）</w:t>
            </w:r>
          </w:p>
        </w:tc>
        <w:tc>
          <w:tcPr>
            <w:tcW w:w="1065" w:type="dxa"/>
            <w:vMerge w:val="restart"/>
            <w:tcBorders>
              <w:tl2br w:val="nil"/>
              <w:tr2bl w:val="nil"/>
            </w:tcBorders>
            <w:vAlign w:val="center"/>
          </w:tcPr>
          <w:p>
            <w:pPr>
              <w:widowControl/>
              <w:jc w:val="center"/>
              <w:textAlignment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系统管理</w:t>
            </w:r>
          </w:p>
        </w:tc>
        <w:tc>
          <w:tcPr>
            <w:tcW w:w="4901" w:type="dxa"/>
            <w:tcBorders>
              <w:tl2br w:val="nil"/>
              <w:tr2bl w:val="nil"/>
            </w:tcBorders>
            <w:vAlign w:val="center"/>
          </w:tcPr>
          <w:p>
            <w:pPr>
              <w:widowControl/>
              <w:jc w:val="left"/>
              <w:textAlignment w:val="center"/>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color w:val="0000FF"/>
                <w:kern w:val="0"/>
                <w:sz w:val="21"/>
                <w:szCs w:val="21"/>
                <w:highlight w:val="none"/>
              </w:rPr>
              <w:t>矿井通风方式符合规定，通风系统完善可靠，按规定绘制通风系统图；</w:t>
            </w:r>
            <w:r>
              <w:rPr>
                <w:rFonts w:hint="eastAsia" w:asciiTheme="majorEastAsia" w:hAnsiTheme="majorEastAsia" w:eastAsiaTheme="majorEastAsia" w:cstheme="majorEastAsia"/>
                <w:kern w:val="0"/>
                <w:sz w:val="21"/>
                <w:szCs w:val="21"/>
                <w:highlight w:val="none"/>
              </w:rPr>
              <w:t>全矿井、一翼或者一个水平通风系统改变时，编制通风设计及安全措施，经企业技术负责人审批</w:t>
            </w:r>
            <w:r>
              <w:rPr>
                <w:rFonts w:hint="eastAsia" w:asciiTheme="majorEastAsia" w:hAnsiTheme="majorEastAsia" w:eastAsiaTheme="majorEastAsia" w:cstheme="majorEastAsia"/>
                <w:color w:val="0000FF"/>
                <w:kern w:val="0"/>
                <w:sz w:val="21"/>
                <w:szCs w:val="21"/>
                <w:highlight w:val="none"/>
              </w:rPr>
              <w:t>后落实</w:t>
            </w:r>
            <w:r>
              <w:rPr>
                <w:rFonts w:hint="eastAsia" w:asciiTheme="majorEastAsia" w:hAnsiTheme="majorEastAsia" w:eastAsiaTheme="majorEastAsia" w:cstheme="majorEastAsia"/>
                <w:kern w:val="0"/>
                <w:sz w:val="21"/>
                <w:szCs w:val="21"/>
                <w:highlight w:val="none"/>
              </w:rPr>
              <w:t>；巷道贯通前应当制定贯通专项措施，经煤矿总工程师审批</w:t>
            </w:r>
            <w:r>
              <w:rPr>
                <w:rFonts w:hint="eastAsia" w:asciiTheme="majorEastAsia" w:hAnsiTheme="majorEastAsia" w:eastAsiaTheme="majorEastAsia" w:cstheme="majorEastAsia"/>
                <w:color w:val="0000FF"/>
                <w:kern w:val="0"/>
                <w:sz w:val="21"/>
                <w:szCs w:val="21"/>
                <w:highlight w:val="none"/>
              </w:rPr>
              <w:t>后落实</w:t>
            </w:r>
            <w:r>
              <w:rPr>
                <w:rFonts w:hint="eastAsia" w:asciiTheme="majorEastAsia" w:hAnsiTheme="majorEastAsia" w:eastAsiaTheme="majorEastAsia" w:cstheme="majorEastAsia"/>
                <w:color w:val="0000FF"/>
                <w:kern w:val="0"/>
                <w:sz w:val="21"/>
                <w:szCs w:val="21"/>
                <w:highlight w:val="none"/>
                <w:lang w:eastAsia="zh-CN"/>
              </w:rPr>
              <w:t>。</w:t>
            </w:r>
          </w:p>
        </w:tc>
        <w:tc>
          <w:tcPr>
            <w:tcW w:w="3943" w:type="dxa"/>
            <w:tcBorders>
              <w:tl2br w:val="nil"/>
              <w:tr2bl w:val="nil"/>
            </w:tcBorders>
            <w:vAlign w:val="center"/>
          </w:tcPr>
          <w:p>
            <w:pPr>
              <w:widowControl/>
              <w:jc w:val="left"/>
              <w:textAlignment w:val="center"/>
              <w:rPr>
                <w:rFonts w:hint="eastAsia" w:asciiTheme="majorEastAsia" w:hAnsiTheme="majorEastAsia" w:eastAsiaTheme="majorEastAsia" w:cstheme="majorEastAsia"/>
                <w:b/>
                <w:bCs/>
                <w:kern w:val="0"/>
                <w:sz w:val="21"/>
                <w:szCs w:val="21"/>
                <w:highlight w:val="none"/>
              </w:rPr>
            </w:pPr>
            <w:r>
              <w:rPr>
                <w:rFonts w:hint="eastAsia" w:asciiTheme="majorEastAsia" w:hAnsiTheme="majorEastAsia" w:eastAsiaTheme="majorEastAsia" w:cstheme="majorEastAsia"/>
                <w:b/>
                <w:bCs/>
                <w:kern w:val="0"/>
                <w:sz w:val="21"/>
                <w:szCs w:val="21"/>
                <w:highlight w:val="none"/>
              </w:rPr>
              <w:t>资料管理</w:t>
            </w:r>
          </w:p>
          <w:p>
            <w:pPr>
              <w:widowControl/>
              <w:jc w:val="left"/>
              <w:textAlignment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有通风系统图、分层通风系统图、通风网络图、通风系统立体示意图、瓦斯抽采系统图、安全监控系统图、防尘系统图、防灭火系统图等；有测风记录、通风值班记录、通风（反风）设施检查及维修记录、粉尘冲洗记录、防灭火检查记录；有密闭管理台账、煤层注水台账、瓦斯抽采台账等，并与现场实际相符</w:t>
            </w:r>
          </w:p>
          <w:p>
            <w:pPr>
              <w:widowControl/>
              <w:jc w:val="left"/>
              <w:textAlignment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系统管理</w:t>
            </w:r>
          </w:p>
          <w:p>
            <w:pPr>
              <w:widowControl/>
              <w:jc w:val="left"/>
              <w:textAlignment w:val="center"/>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kern w:val="0"/>
                <w:sz w:val="21"/>
                <w:szCs w:val="21"/>
                <w:highlight w:val="none"/>
                <w:lang w:val="en-US" w:eastAsia="zh-CN"/>
              </w:rPr>
              <w:t>1.</w:t>
            </w:r>
            <w:r>
              <w:rPr>
                <w:rFonts w:hint="eastAsia" w:asciiTheme="majorEastAsia" w:hAnsiTheme="majorEastAsia" w:eastAsiaTheme="majorEastAsia" w:cstheme="majorEastAsia"/>
                <w:kern w:val="0"/>
                <w:sz w:val="21"/>
                <w:szCs w:val="21"/>
                <w:highlight w:val="none"/>
              </w:rPr>
              <w:t>全矿井、一翼或者一个水平通风系统改变时，编制通风设计及安全措施，经企业技术负责人审批；巷道贯通前应当制定贯通专项措施，经矿总工程师审批；井下爆炸物品库</w:t>
            </w:r>
            <w:r>
              <w:rPr>
                <w:rFonts w:hint="eastAsia" w:asciiTheme="majorEastAsia" w:hAnsiTheme="majorEastAsia" w:eastAsiaTheme="majorEastAsia" w:cstheme="majorEastAsia"/>
                <w:color w:val="FF0000"/>
                <w:kern w:val="0"/>
                <w:sz w:val="21"/>
                <w:szCs w:val="21"/>
                <w:highlight w:val="none"/>
              </w:rPr>
              <w:t>、充电硐室、</w:t>
            </w:r>
            <w:r>
              <w:rPr>
                <w:rFonts w:hint="eastAsia" w:asciiTheme="majorEastAsia" w:hAnsiTheme="majorEastAsia" w:eastAsiaTheme="majorEastAsia" w:cstheme="majorEastAsia"/>
                <w:kern w:val="0"/>
                <w:sz w:val="21"/>
                <w:szCs w:val="21"/>
                <w:highlight w:val="none"/>
              </w:rPr>
              <w:t>采区变电所、实现采区变电所功能的中央变电所有独立的通风系统</w:t>
            </w:r>
            <w:r>
              <w:rPr>
                <w:rFonts w:hint="eastAsia" w:asciiTheme="majorEastAsia" w:hAnsiTheme="majorEastAsia" w:eastAsiaTheme="majorEastAsia" w:cstheme="majorEastAsia"/>
                <w:kern w:val="0"/>
                <w:sz w:val="21"/>
                <w:szCs w:val="21"/>
                <w:highlight w:val="none"/>
                <w:lang w:eastAsia="zh-CN"/>
              </w:rPr>
              <w:t>。</w:t>
            </w:r>
          </w:p>
        </w:tc>
        <w:tc>
          <w:tcPr>
            <w:tcW w:w="3010" w:type="dxa"/>
            <w:tcBorders>
              <w:tl2br w:val="nil"/>
              <w:tr2bl w:val="nil"/>
            </w:tcBorders>
            <w:vAlign w:val="center"/>
          </w:tcPr>
          <w:p>
            <w:pPr>
              <w:widowControl/>
              <w:jc w:val="left"/>
              <w:textAlignment w:val="center"/>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1.资料管理内容已分开进行要求。</w:t>
            </w:r>
          </w:p>
          <w:p>
            <w:pPr>
              <w:pStyle w:val="11"/>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2.明确措施落实。</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1773" w:hRule="atLeast"/>
        </w:trPr>
        <w:tc>
          <w:tcPr>
            <w:tcW w:w="1019"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1065"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4901" w:type="dxa"/>
            <w:tcBorders>
              <w:tl2br w:val="nil"/>
              <w:tr2bl w:val="nil"/>
            </w:tcBorders>
            <w:vAlign w:val="center"/>
          </w:tcPr>
          <w:p>
            <w:pPr>
              <w:widowControl/>
              <w:jc w:val="left"/>
              <w:textAlignment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kern w:val="0"/>
                <w:sz w:val="21"/>
                <w:szCs w:val="21"/>
                <w:highlight w:val="none"/>
              </w:rPr>
              <w:t>井下爆炸物品库、采区变电所、实现采区变电所功能的中央变电所有独立的通风系统；</w:t>
            </w:r>
            <w:r>
              <w:rPr>
                <w:rFonts w:hint="eastAsia" w:asciiTheme="majorEastAsia" w:hAnsiTheme="majorEastAsia" w:eastAsiaTheme="majorEastAsia" w:cstheme="majorEastAsia"/>
                <w:color w:val="0000FF"/>
                <w:kern w:val="0"/>
                <w:sz w:val="21"/>
                <w:szCs w:val="21"/>
                <w:highlight w:val="none"/>
              </w:rPr>
              <w:t>井下充电室通风管理符合规定；</w:t>
            </w:r>
            <w:r>
              <w:rPr>
                <w:rFonts w:hint="eastAsia" w:asciiTheme="majorEastAsia" w:hAnsiTheme="majorEastAsia" w:eastAsiaTheme="majorEastAsia" w:cstheme="majorEastAsia"/>
                <w:b w:val="0"/>
                <w:bCs w:val="0"/>
                <w:color w:val="auto"/>
                <w:kern w:val="0"/>
                <w:sz w:val="21"/>
                <w:szCs w:val="21"/>
                <w:highlight w:val="none"/>
              </w:rPr>
              <w:t>井下无采空区通风和利用局部通风机通风的采煤工作面</w:t>
            </w:r>
          </w:p>
        </w:tc>
        <w:tc>
          <w:tcPr>
            <w:tcW w:w="3943" w:type="dxa"/>
            <w:vMerge w:val="restart"/>
            <w:tcBorders>
              <w:tl2br w:val="nil"/>
              <w:tr2bl w:val="nil"/>
            </w:tcBorders>
            <w:vAlign w:val="center"/>
          </w:tcPr>
          <w:p>
            <w:pPr>
              <w:widowControl/>
              <w:jc w:val="left"/>
              <w:textAlignment w:val="center"/>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2.井下</w:t>
            </w:r>
            <w:r>
              <w:rPr>
                <w:rFonts w:hint="eastAsia" w:asciiTheme="majorEastAsia" w:hAnsiTheme="majorEastAsia" w:eastAsiaTheme="majorEastAsia" w:cstheme="majorEastAsia"/>
                <w:color w:val="FF0000"/>
                <w:sz w:val="21"/>
                <w:szCs w:val="21"/>
                <w:highlight w:val="none"/>
                <w:lang w:val="en-US" w:eastAsia="zh-CN"/>
              </w:rPr>
              <w:t>没有违反《煤矿安全规程》规定的扩散通风</w:t>
            </w:r>
            <w:r>
              <w:rPr>
                <w:rFonts w:hint="eastAsia" w:asciiTheme="majorEastAsia" w:hAnsiTheme="majorEastAsia" w:eastAsiaTheme="majorEastAsia" w:cstheme="majorEastAsia"/>
                <w:sz w:val="21"/>
                <w:szCs w:val="21"/>
                <w:highlight w:val="none"/>
                <w:lang w:val="en-US" w:eastAsia="zh-CN"/>
              </w:rPr>
              <w:t>、采空区通风和利用局部通风机通风的采煤工作面；对于允许布置的串联通风，制定安全措施，</w:t>
            </w:r>
            <w:r>
              <w:rPr>
                <w:rFonts w:hint="eastAsia" w:asciiTheme="majorEastAsia" w:hAnsiTheme="majorEastAsia" w:eastAsiaTheme="majorEastAsia" w:cstheme="majorEastAsia"/>
                <w:color w:val="FF0000"/>
                <w:sz w:val="21"/>
                <w:szCs w:val="21"/>
                <w:highlight w:val="none"/>
                <w:lang w:val="en-US" w:eastAsia="zh-CN"/>
              </w:rPr>
              <w:t>其中开拓新水平和准备新采区的开掘巷道的回风引入生产水平的进风中的安全措施，经企业技术负责人审批，</w:t>
            </w:r>
            <w:r>
              <w:rPr>
                <w:rFonts w:hint="eastAsia" w:asciiTheme="majorEastAsia" w:hAnsiTheme="majorEastAsia" w:eastAsiaTheme="majorEastAsia" w:cstheme="majorEastAsia"/>
                <w:color w:val="auto"/>
                <w:sz w:val="21"/>
                <w:szCs w:val="21"/>
                <w:highlight w:val="none"/>
                <w:lang w:val="en-US" w:eastAsia="zh-CN"/>
              </w:rPr>
              <w:t>其他串联通风的安全措施，经矿总工程师审批。</w:t>
            </w:r>
          </w:p>
          <w:p>
            <w:pPr>
              <w:widowControl/>
              <w:jc w:val="left"/>
              <w:textAlignment w:val="center"/>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color w:val="FF0000"/>
                <w:sz w:val="21"/>
                <w:szCs w:val="21"/>
                <w:highlight w:val="none"/>
                <w:lang w:val="en-US" w:eastAsia="zh-CN"/>
              </w:rPr>
              <w:t>3.采区专用回风巷不用于运输、安设电气设备，突出区不行人；专用回风巷道维修时制定专项措施，经矿总工程师审批。</w:t>
            </w:r>
          </w:p>
          <w:p>
            <w:pPr>
              <w:widowControl/>
              <w:jc w:val="left"/>
              <w:textAlignment w:val="center"/>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4.</w:t>
            </w:r>
            <w:r>
              <w:rPr>
                <w:rFonts w:hint="eastAsia" w:asciiTheme="majorEastAsia" w:hAnsiTheme="majorEastAsia" w:eastAsiaTheme="majorEastAsia" w:cstheme="majorEastAsia"/>
                <w:color w:val="FF0000"/>
                <w:sz w:val="21"/>
                <w:szCs w:val="21"/>
                <w:highlight w:val="none"/>
                <w:lang w:val="en-US" w:eastAsia="zh-CN"/>
              </w:rPr>
              <w:t>装有主要通风机的井口防爆门等反风设施每季度至少组织检查维修1次，有记录；</w:t>
            </w:r>
            <w:r>
              <w:rPr>
                <w:rFonts w:hint="eastAsia" w:asciiTheme="majorEastAsia" w:hAnsiTheme="majorEastAsia" w:eastAsiaTheme="majorEastAsia" w:cstheme="majorEastAsia"/>
                <w:sz w:val="21"/>
                <w:szCs w:val="21"/>
                <w:highlight w:val="none"/>
                <w:lang w:val="en-US" w:eastAsia="zh-CN"/>
              </w:rPr>
              <w:t>制定年度全矿性反风技术方案，按规定审批，实施有总结报告，并达到反风效果</w:t>
            </w:r>
          </w:p>
        </w:tc>
        <w:tc>
          <w:tcPr>
            <w:tcW w:w="3010" w:type="dxa"/>
            <w:tcBorders>
              <w:tl2br w:val="nil"/>
              <w:tr2bl w:val="nil"/>
            </w:tcBorders>
            <w:vAlign w:val="center"/>
          </w:tcPr>
          <w:p>
            <w:pPr>
              <w:widowControl/>
              <w:jc w:val="left"/>
              <w:textAlignment w:val="center"/>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井下充电硐室通风管理单独解读</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1479" w:hRule="atLeast"/>
        </w:trPr>
        <w:tc>
          <w:tcPr>
            <w:tcW w:w="1019"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1065"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4901" w:type="dxa"/>
            <w:tcBorders>
              <w:tl2br w:val="nil"/>
              <w:tr2bl w:val="nil"/>
            </w:tcBorders>
            <w:vAlign w:val="center"/>
          </w:tcPr>
          <w:p>
            <w:pPr>
              <w:widowControl/>
              <w:jc w:val="left"/>
              <w:textAlignment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kern w:val="0"/>
                <w:sz w:val="21"/>
                <w:szCs w:val="21"/>
                <w:highlight w:val="none"/>
              </w:rPr>
              <w:t>对于允许布置的串联通风，制定安全措施，按规定审批后落实</w:t>
            </w:r>
          </w:p>
        </w:tc>
        <w:tc>
          <w:tcPr>
            <w:tcW w:w="3943" w:type="dxa"/>
            <w:vMerge w:val="continue"/>
            <w:tcBorders>
              <w:tl2br w:val="nil"/>
              <w:tr2bl w:val="nil"/>
            </w:tcBorders>
            <w:vAlign w:val="center"/>
          </w:tcPr>
          <w:p>
            <w:pPr>
              <w:widowControl/>
              <w:jc w:val="left"/>
              <w:textAlignment w:val="center"/>
              <w:rPr>
                <w:rFonts w:hint="eastAsia" w:asciiTheme="majorEastAsia" w:hAnsiTheme="majorEastAsia" w:eastAsiaTheme="majorEastAsia" w:cstheme="majorEastAsia"/>
                <w:sz w:val="21"/>
                <w:szCs w:val="21"/>
                <w:highlight w:val="none"/>
                <w:lang w:val="en-US" w:eastAsia="zh-CN"/>
              </w:rPr>
            </w:pPr>
          </w:p>
        </w:tc>
        <w:tc>
          <w:tcPr>
            <w:tcW w:w="3010" w:type="dxa"/>
            <w:tcBorders>
              <w:tl2br w:val="nil"/>
              <w:tr2bl w:val="nil"/>
            </w:tcBorders>
            <w:vAlign w:val="center"/>
          </w:tcPr>
          <w:p>
            <w:pPr>
              <w:widowControl/>
              <w:jc w:val="left"/>
              <w:textAlignment w:val="center"/>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串联通风、专用回风巷、</w:t>
            </w:r>
            <w:r>
              <w:rPr>
                <w:rFonts w:hint="eastAsia" w:asciiTheme="majorEastAsia" w:hAnsiTheme="majorEastAsia" w:eastAsiaTheme="majorEastAsia" w:cstheme="majorEastAsia"/>
                <w:color w:val="auto"/>
                <w:sz w:val="21"/>
                <w:szCs w:val="21"/>
                <w:highlight w:val="none"/>
                <w:lang w:val="en-US" w:eastAsia="zh-CN"/>
              </w:rPr>
              <w:t>主要通风机的井口防爆门反风设施检查等</w:t>
            </w:r>
            <w:r>
              <w:rPr>
                <w:rFonts w:hint="eastAsia" w:asciiTheme="majorEastAsia" w:hAnsiTheme="majorEastAsia" w:eastAsiaTheme="majorEastAsia" w:cstheme="majorEastAsia"/>
                <w:color w:val="auto"/>
                <w:kern w:val="0"/>
                <w:sz w:val="21"/>
                <w:szCs w:val="21"/>
                <w:highlight w:val="none"/>
                <w:lang w:val="en-US" w:eastAsia="zh-CN"/>
              </w:rPr>
              <w:t>要求不再细化</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2635" w:hRule="atLeast"/>
        </w:trPr>
        <w:tc>
          <w:tcPr>
            <w:tcW w:w="1019"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1065" w:type="dxa"/>
            <w:vMerge w:val="restart"/>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风量配备</w:t>
            </w:r>
          </w:p>
        </w:tc>
        <w:tc>
          <w:tcPr>
            <w:tcW w:w="4901" w:type="dxa"/>
            <w:tcBorders>
              <w:tl2br w:val="nil"/>
              <w:tr2bl w:val="nil"/>
            </w:tcBorders>
            <w:vAlign w:val="center"/>
          </w:tcPr>
          <w:p>
            <w:pP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auto"/>
                <w:kern w:val="0"/>
                <w:sz w:val="21"/>
                <w:szCs w:val="21"/>
                <w:highlight w:val="none"/>
              </w:rPr>
              <w:t>主要通风机安设监测系统，能够实时准确监测风机运行状态、风量、风压等参数</w:t>
            </w:r>
            <w:r>
              <w:rPr>
                <w:rFonts w:hint="eastAsia" w:asciiTheme="majorEastAsia" w:hAnsiTheme="majorEastAsia" w:eastAsiaTheme="majorEastAsia" w:cstheme="majorEastAsia"/>
                <w:color w:val="0000FF"/>
                <w:kern w:val="0"/>
                <w:sz w:val="21"/>
                <w:szCs w:val="21"/>
                <w:highlight w:val="none"/>
              </w:rPr>
              <w:t>；</w:t>
            </w:r>
            <w:r>
              <w:rPr>
                <w:rFonts w:hint="eastAsia" w:asciiTheme="majorEastAsia" w:hAnsiTheme="majorEastAsia" w:eastAsiaTheme="majorEastAsia" w:cstheme="majorEastAsia"/>
                <w:kern w:val="0"/>
                <w:sz w:val="21"/>
                <w:szCs w:val="21"/>
                <w:highlight w:val="none"/>
              </w:rPr>
              <w:t>生产矿井主要通风机装有反风设施，按规定进行反风演习，有总结报告</w:t>
            </w:r>
          </w:p>
        </w:tc>
        <w:tc>
          <w:tcPr>
            <w:tcW w:w="3943" w:type="dxa"/>
            <w:vMerge w:val="continue"/>
            <w:tcBorders>
              <w:tl2br w:val="nil"/>
              <w:tr2bl w:val="nil"/>
            </w:tcBorders>
            <w:vAlign w:val="center"/>
          </w:tcPr>
          <w:p>
            <w:pPr>
              <w:widowControl/>
              <w:jc w:val="left"/>
              <w:textAlignment w:val="center"/>
              <w:rPr>
                <w:rFonts w:hint="eastAsia" w:asciiTheme="majorEastAsia" w:hAnsiTheme="majorEastAsia" w:eastAsiaTheme="majorEastAsia" w:cstheme="majorEastAsia"/>
                <w:sz w:val="21"/>
                <w:szCs w:val="21"/>
                <w:highlight w:val="none"/>
              </w:rPr>
            </w:pPr>
          </w:p>
        </w:tc>
        <w:tc>
          <w:tcPr>
            <w:tcW w:w="3010" w:type="dxa"/>
            <w:tcBorders>
              <w:tl2br w:val="nil"/>
              <w:tr2bl w:val="nil"/>
            </w:tcBorders>
            <w:vAlign w:val="center"/>
          </w:tcPr>
          <w:p>
            <w:pPr>
              <w:widowControl/>
              <w:jc w:val="left"/>
              <w:textAlignment w:val="center"/>
              <w:rPr>
                <w:rFonts w:hint="eastAsia" w:asciiTheme="majorEastAsia" w:hAnsiTheme="majorEastAsia" w:eastAsiaTheme="majorEastAsia" w:cstheme="majorEastAsia"/>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1479" w:hRule="atLeast"/>
        </w:trPr>
        <w:tc>
          <w:tcPr>
            <w:tcW w:w="1019"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1065"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4901" w:type="dxa"/>
            <w:tcBorders>
              <w:tl2br w:val="nil"/>
              <w:tr2bl w:val="nil"/>
            </w:tcBorders>
            <w:vAlign w:val="center"/>
          </w:tcPr>
          <w:p>
            <w:pPr>
              <w:widowControl/>
              <w:jc w:val="left"/>
              <w:textAlignment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FF"/>
                <w:kern w:val="0"/>
                <w:sz w:val="21"/>
                <w:szCs w:val="21"/>
                <w:highlight w:val="none"/>
              </w:rPr>
              <w:t>通风阻力测定符合要求；阻力分布及系统阻力与风量匹配符合规定；每年安排采掘作业计划时核定矿井生产和通风能力</w:t>
            </w:r>
          </w:p>
        </w:tc>
        <w:tc>
          <w:tcPr>
            <w:tcW w:w="3943" w:type="dxa"/>
            <w:vMerge w:val="restart"/>
            <w:tcBorders>
              <w:tl2br w:val="nil"/>
              <w:tr2bl w:val="nil"/>
            </w:tcBorders>
            <w:vAlign w:val="center"/>
          </w:tcPr>
          <w:p>
            <w:pPr>
              <w:pStyle w:val="11"/>
              <w:rPr>
                <w:rFonts w:hint="eastAsia" w:asciiTheme="majorEastAsia" w:hAnsiTheme="majorEastAsia" w:eastAsiaTheme="majorEastAsia" w:cstheme="majorEastAsia"/>
                <w:color w:val="FF0000"/>
                <w:sz w:val="21"/>
                <w:szCs w:val="21"/>
                <w:highlight w:val="none"/>
                <w:lang w:val="en-US" w:eastAsia="zh-CN"/>
              </w:rPr>
            </w:pPr>
            <w:r>
              <w:rPr>
                <w:rFonts w:hint="eastAsia" w:asciiTheme="majorEastAsia" w:hAnsiTheme="majorEastAsia" w:eastAsiaTheme="majorEastAsia" w:cstheme="majorEastAsia"/>
                <w:color w:val="FF0000"/>
                <w:sz w:val="21"/>
                <w:szCs w:val="21"/>
                <w:highlight w:val="none"/>
                <w:lang w:val="en-US" w:eastAsia="zh-CN"/>
              </w:rPr>
              <w:t>1.新安装、技术改造及更换叶片的主要通风机投入使用前，进行1次通风机性能测定和试运转工作，投入使用后每5年至少进行1次性能测定；矿井通风阻力测定符合《煤矿安全规程》规定。</w:t>
            </w:r>
          </w:p>
          <w:p>
            <w:pPr>
              <w:pStyle w:val="11"/>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r>
              <w:rPr>
                <w:rFonts w:hint="eastAsia" w:asciiTheme="majorEastAsia" w:hAnsiTheme="majorEastAsia" w:eastAsiaTheme="majorEastAsia" w:cstheme="majorEastAsia"/>
                <w:color w:val="FF0000"/>
                <w:sz w:val="21"/>
                <w:szCs w:val="21"/>
                <w:highlight w:val="none"/>
                <w:lang w:val="en-US" w:eastAsia="zh-CN"/>
              </w:rPr>
              <w:t>矿井每年进行1次通风能力核定；井下测风站（点）布置齐全、合理，并有测风记录牌板，填写所需风量、现场实际风量等参数，</w:t>
            </w:r>
            <w:r>
              <w:rPr>
                <w:rFonts w:hint="eastAsia" w:asciiTheme="majorEastAsia" w:hAnsiTheme="majorEastAsia" w:eastAsiaTheme="majorEastAsia" w:cstheme="majorEastAsia"/>
                <w:sz w:val="21"/>
                <w:szCs w:val="21"/>
                <w:highlight w:val="none"/>
                <w:lang w:val="en-US" w:eastAsia="zh-CN"/>
              </w:rPr>
              <w:t>每10天至少进行1次井下全面测风，井下各硐室和巷道的供风量满足计算所需风量。</w:t>
            </w:r>
          </w:p>
          <w:p>
            <w:pPr>
              <w:pStyle w:val="11"/>
              <w:rPr>
                <w:rFonts w:hint="eastAsia" w:asciiTheme="majorEastAsia" w:hAnsiTheme="majorEastAsia" w:eastAsiaTheme="majorEastAsia" w:cstheme="majorEastAsia"/>
                <w:color w:val="FF0000"/>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3.</w:t>
            </w:r>
            <w:r>
              <w:rPr>
                <w:rFonts w:hint="eastAsia" w:asciiTheme="majorEastAsia" w:hAnsiTheme="majorEastAsia" w:eastAsiaTheme="majorEastAsia" w:cstheme="majorEastAsia"/>
                <w:color w:val="FF0000"/>
                <w:sz w:val="21"/>
                <w:szCs w:val="21"/>
                <w:highlight w:val="none"/>
                <w:lang w:val="en-US" w:eastAsia="zh-CN"/>
              </w:rPr>
              <w:t>矿井有效风量率不低于85％；矿井外部漏风率每年至少测定1次，外部漏风率在无提升设备时不得超过5％，有提升设备时不得超过15％</w:t>
            </w:r>
          </w:p>
          <w:p>
            <w:pPr>
              <w:pStyle w:val="11"/>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4.</w:t>
            </w:r>
            <w:r>
              <w:rPr>
                <w:rFonts w:hint="eastAsia" w:asciiTheme="majorEastAsia" w:hAnsiTheme="majorEastAsia" w:eastAsiaTheme="majorEastAsia" w:cstheme="majorEastAsia"/>
                <w:color w:val="FF0000"/>
                <w:sz w:val="21"/>
                <w:szCs w:val="21"/>
                <w:highlight w:val="none"/>
                <w:lang w:val="en-US" w:eastAsia="zh-CN"/>
              </w:rPr>
              <w:t>采煤工作面进、回风巷实际断面不小于设计断面的2/3；其他全风压通风巷道实际断面不小于设计断面的4/5；</w:t>
            </w:r>
            <w:r>
              <w:rPr>
                <w:rFonts w:hint="eastAsia" w:asciiTheme="majorEastAsia" w:hAnsiTheme="majorEastAsia" w:eastAsiaTheme="majorEastAsia" w:cstheme="majorEastAsia"/>
                <w:sz w:val="21"/>
                <w:szCs w:val="21"/>
                <w:highlight w:val="none"/>
                <w:lang w:val="en-US" w:eastAsia="zh-CN"/>
              </w:rPr>
              <w:t>矿井通风系统的阻力符合AQ 1028规定；矿井内各地点风速符合《煤矿安全规程》规定</w:t>
            </w:r>
          </w:p>
        </w:tc>
        <w:tc>
          <w:tcPr>
            <w:tcW w:w="3010" w:type="dxa"/>
            <w:tcBorders>
              <w:tl2br w:val="nil"/>
              <w:tr2bl w:val="nil"/>
            </w:tcBorders>
            <w:vAlign w:val="center"/>
          </w:tcPr>
          <w:p>
            <w:pPr>
              <w:widowControl/>
              <w:jc w:val="left"/>
              <w:textAlignment w:val="center"/>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总体概述通风阻力符合要求，并明确要求</w:t>
            </w:r>
            <w:r>
              <w:rPr>
                <w:rFonts w:hint="eastAsia" w:asciiTheme="majorEastAsia" w:hAnsiTheme="majorEastAsia" w:eastAsiaTheme="majorEastAsia" w:cstheme="majorEastAsia"/>
                <w:color w:val="auto"/>
                <w:kern w:val="0"/>
                <w:sz w:val="21"/>
                <w:szCs w:val="21"/>
                <w:highlight w:val="none"/>
              </w:rPr>
              <w:t>采</w:t>
            </w:r>
            <w:r>
              <w:rPr>
                <w:rFonts w:hint="eastAsia" w:asciiTheme="majorEastAsia" w:hAnsiTheme="majorEastAsia" w:eastAsiaTheme="majorEastAsia" w:cstheme="majorEastAsia"/>
                <w:color w:val="auto"/>
                <w:kern w:val="0"/>
                <w:sz w:val="21"/>
                <w:szCs w:val="21"/>
                <w:highlight w:val="none"/>
                <w:lang w:val="en-US" w:eastAsia="zh-CN"/>
              </w:rPr>
              <w:t>安排</w:t>
            </w:r>
            <w:r>
              <w:rPr>
                <w:rFonts w:hint="eastAsia" w:asciiTheme="majorEastAsia" w:hAnsiTheme="majorEastAsia" w:eastAsiaTheme="majorEastAsia" w:cstheme="majorEastAsia"/>
                <w:color w:val="auto"/>
                <w:kern w:val="0"/>
                <w:sz w:val="21"/>
                <w:szCs w:val="21"/>
                <w:highlight w:val="none"/>
              </w:rPr>
              <w:t>掘作业计划时核定矿井生产和通风能力</w:t>
            </w:r>
            <w:r>
              <w:rPr>
                <w:rFonts w:hint="eastAsia" w:asciiTheme="majorEastAsia" w:hAnsiTheme="majorEastAsia" w:eastAsiaTheme="majorEastAsia" w:cstheme="majorEastAsia"/>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407" w:hRule="atLeast"/>
        </w:trPr>
        <w:tc>
          <w:tcPr>
            <w:tcW w:w="1019"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1065"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4901" w:type="dxa"/>
            <w:tcBorders>
              <w:tl2br w:val="nil"/>
              <w:tr2bl w:val="nil"/>
            </w:tcBorders>
            <w:vAlign w:val="center"/>
          </w:tcPr>
          <w:p>
            <w:pPr>
              <w:widowControl/>
              <w:jc w:val="left"/>
              <w:textAlignment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kern w:val="0"/>
                <w:sz w:val="21"/>
                <w:szCs w:val="21"/>
                <w:highlight w:val="none"/>
              </w:rPr>
              <w:t>建立</w:t>
            </w:r>
            <w:r>
              <w:rPr>
                <w:rFonts w:hint="eastAsia" w:asciiTheme="majorEastAsia" w:hAnsiTheme="majorEastAsia" w:eastAsiaTheme="majorEastAsia" w:cstheme="majorEastAsia"/>
                <w:color w:val="00B0F0"/>
                <w:kern w:val="0"/>
                <w:sz w:val="21"/>
                <w:szCs w:val="21"/>
                <w:highlight w:val="none"/>
              </w:rPr>
              <w:t>矿井测风制度，</w:t>
            </w:r>
            <w:r>
              <w:rPr>
                <w:rFonts w:hint="eastAsia" w:asciiTheme="majorEastAsia" w:hAnsiTheme="majorEastAsia" w:eastAsiaTheme="majorEastAsia" w:cstheme="majorEastAsia"/>
                <w:color w:val="0000FF"/>
                <w:kern w:val="0"/>
                <w:sz w:val="21"/>
                <w:szCs w:val="21"/>
                <w:highlight w:val="none"/>
              </w:rPr>
              <w:t>每旬至少进行</w:t>
            </w:r>
            <w:r>
              <w:rPr>
                <w:rFonts w:hint="eastAsia" w:asciiTheme="majorEastAsia" w:hAnsiTheme="majorEastAsia" w:eastAsiaTheme="majorEastAsia" w:cstheme="majorEastAsia"/>
                <w:kern w:val="0"/>
                <w:sz w:val="21"/>
                <w:szCs w:val="21"/>
                <w:highlight w:val="none"/>
              </w:rPr>
              <w:t>1次全面测风，实际风量、风速等参数符合规定</w:t>
            </w:r>
          </w:p>
        </w:tc>
        <w:tc>
          <w:tcPr>
            <w:tcW w:w="3943" w:type="dxa"/>
            <w:vMerge w:val="continue"/>
            <w:tcBorders>
              <w:tl2br w:val="nil"/>
              <w:tr2bl w:val="nil"/>
            </w:tcBorders>
            <w:vAlign w:val="center"/>
          </w:tcPr>
          <w:p>
            <w:pPr>
              <w:pStyle w:val="11"/>
              <w:rPr>
                <w:rFonts w:hint="eastAsia" w:asciiTheme="majorEastAsia" w:hAnsiTheme="majorEastAsia" w:eastAsiaTheme="majorEastAsia" w:cstheme="majorEastAsia"/>
                <w:sz w:val="21"/>
                <w:szCs w:val="21"/>
                <w:highlight w:val="none"/>
                <w:lang w:val="en-US" w:eastAsia="zh-CN"/>
              </w:rPr>
            </w:pPr>
          </w:p>
        </w:tc>
        <w:tc>
          <w:tcPr>
            <w:tcW w:w="3010" w:type="dxa"/>
            <w:tcBorders>
              <w:tl2br w:val="nil"/>
              <w:tr2bl w:val="nil"/>
            </w:tcBorders>
            <w:vAlign w:val="center"/>
          </w:tcPr>
          <w:p>
            <w:pPr>
              <w:widowControl/>
              <w:textAlignment w:val="center"/>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专业管理制度分开描述，每旬全面测风1次。</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829" w:hRule="atLeast"/>
        </w:trPr>
        <w:tc>
          <w:tcPr>
            <w:tcW w:w="1019"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1065" w:type="dxa"/>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局部通风</w:t>
            </w:r>
          </w:p>
        </w:tc>
        <w:tc>
          <w:tcPr>
            <w:tcW w:w="4901" w:type="dxa"/>
            <w:tcBorders>
              <w:tl2br w:val="nil"/>
              <w:tr2bl w:val="nil"/>
            </w:tcBorders>
            <w:vAlign w:val="center"/>
          </w:tcPr>
          <w:p>
            <w:pPr>
              <w:widowControl/>
              <w:jc w:val="left"/>
              <w:textAlignment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kern w:val="0"/>
                <w:sz w:val="21"/>
                <w:szCs w:val="21"/>
                <w:highlight w:val="none"/>
              </w:rPr>
              <w:t>局部通风机和风筒的安装、使用符合规定，无循环风；不出现无计划停风，有计划停风前制定专项安全技术措施；</w:t>
            </w:r>
            <w:r>
              <w:rPr>
                <w:rFonts w:hint="eastAsia" w:asciiTheme="majorEastAsia" w:hAnsiTheme="majorEastAsia" w:eastAsiaTheme="majorEastAsia" w:cstheme="majorEastAsia"/>
                <w:bCs/>
                <w:kern w:val="0"/>
                <w:sz w:val="21"/>
                <w:szCs w:val="21"/>
                <w:highlight w:val="none"/>
              </w:rPr>
              <w:t>风筒吊挂平、直、稳，逢环必挂</w:t>
            </w:r>
            <w:r>
              <w:rPr>
                <w:rFonts w:hint="eastAsia" w:asciiTheme="majorEastAsia" w:hAnsiTheme="majorEastAsia" w:eastAsiaTheme="majorEastAsia" w:cstheme="majorEastAsia"/>
                <w:color w:val="0000FF"/>
                <w:kern w:val="0"/>
                <w:sz w:val="21"/>
                <w:szCs w:val="21"/>
                <w:highlight w:val="none"/>
              </w:rPr>
              <w:t>并拉紧，风筒接头严密，</w:t>
            </w:r>
            <w:r>
              <w:rPr>
                <w:rFonts w:hint="eastAsia" w:asciiTheme="majorEastAsia" w:hAnsiTheme="majorEastAsia" w:eastAsiaTheme="majorEastAsia" w:cstheme="majorEastAsia"/>
                <w:bCs/>
                <w:color w:val="auto"/>
                <w:kern w:val="0"/>
                <w:sz w:val="21"/>
                <w:szCs w:val="21"/>
                <w:highlight w:val="none"/>
              </w:rPr>
              <w:t>无反接头</w:t>
            </w:r>
            <w:r>
              <w:rPr>
                <w:rFonts w:hint="eastAsia" w:asciiTheme="majorEastAsia" w:hAnsiTheme="majorEastAsia" w:eastAsiaTheme="majorEastAsia" w:cstheme="majorEastAsia"/>
                <w:color w:val="0000FF"/>
                <w:kern w:val="0"/>
                <w:sz w:val="21"/>
                <w:szCs w:val="21"/>
                <w:highlight w:val="none"/>
              </w:rPr>
              <w:t>，压边到位</w:t>
            </w:r>
          </w:p>
        </w:tc>
        <w:tc>
          <w:tcPr>
            <w:tcW w:w="3943" w:type="dxa"/>
            <w:tcBorders>
              <w:tl2br w:val="nil"/>
              <w:tr2bl w:val="nil"/>
            </w:tcBorders>
            <w:vAlign w:val="center"/>
          </w:tcPr>
          <w:p>
            <w:pPr>
              <w:pStyle w:val="11"/>
              <w:rPr>
                <w:rFonts w:hint="eastAsia" w:asciiTheme="majorEastAsia" w:hAnsiTheme="majorEastAsia" w:eastAsiaTheme="majorEastAsia" w:cstheme="majorEastAsia"/>
                <w:b/>
                <w:bCs/>
                <w:sz w:val="21"/>
                <w:szCs w:val="21"/>
                <w:highlight w:val="none"/>
                <w:lang w:val="en-US" w:eastAsia="zh-CN"/>
              </w:rPr>
            </w:pPr>
            <w:r>
              <w:rPr>
                <w:rFonts w:hint="eastAsia" w:asciiTheme="majorEastAsia" w:hAnsiTheme="majorEastAsia" w:eastAsiaTheme="majorEastAsia" w:cstheme="majorEastAsia"/>
                <w:b/>
                <w:bCs/>
                <w:sz w:val="21"/>
                <w:szCs w:val="21"/>
                <w:highlight w:val="none"/>
                <w:lang w:val="en-US" w:eastAsia="zh-CN"/>
              </w:rPr>
              <w:t>装备措施</w:t>
            </w:r>
          </w:p>
          <w:p>
            <w:pPr>
              <w:pStyle w:val="11"/>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r>
              <w:rPr>
                <w:rFonts w:hint="eastAsia" w:asciiTheme="majorEastAsia" w:hAnsiTheme="majorEastAsia" w:eastAsiaTheme="majorEastAsia" w:cstheme="majorEastAsia"/>
                <w:color w:val="FF0000"/>
                <w:sz w:val="21"/>
                <w:szCs w:val="21"/>
                <w:highlight w:val="none"/>
                <w:lang w:val="en-US" w:eastAsia="zh-CN"/>
              </w:rPr>
              <w:t>采用局部通风机供风的掘进巷道应安设同等能力的备用局部通风机，实现自动切换。</w:t>
            </w:r>
            <w:r>
              <w:rPr>
                <w:rFonts w:hint="eastAsia" w:asciiTheme="majorEastAsia" w:hAnsiTheme="majorEastAsia" w:eastAsiaTheme="majorEastAsia" w:cstheme="majorEastAsia"/>
                <w:sz w:val="21"/>
                <w:szCs w:val="21"/>
                <w:highlight w:val="none"/>
                <w:lang w:val="en-US" w:eastAsia="zh-CN"/>
              </w:rPr>
              <w:t>局部通风机的安装、使用符合《煤矿安全规程》规定，</w:t>
            </w:r>
            <w:r>
              <w:rPr>
                <w:rFonts w:hint="eastAsia" w:asciiTheme="majorEastAsia" w:hAnsiTheme="majorEastAsia" w:eastAsiaTheme="majorEastAsia" w:cstheme="majorEastAsia"/>
                <w:color w:val="FF0000"/>
                <w:sz w:val="21"/>
                <w:szCs w:val="21"/>
                <w:highlight w:val="none"/>
                <w:lang w:val="en-US" w:eastAsia="zh-CN"/>
              </w:rPr>
              <w:t>实行挂牌管理，由指定人员上岗签字并进行切换试验，有记录；</w:t>
            </w:r>
            <w:r>
              <w:rPr>
                <w:rFonts w:hint="eastAsia" w:asciiTheme="majorEastAsia" w:hAnsiTheme="majorEastAsia" w:eastAsiaTheme="majorEastAsia" w:cstheme="majorEastAsia"/>
                <w:sz w:val="21"/>
                <w:szCs w:val="21"/>
                <w:highlight w:val="none"/>
                <w:lang w:val="en-US" w:eastAsia="zh-CN"/>
              </w:rPr>
              <w:t>不发生循环风；不出现无计划停风，有计划停风前制定专项通风安全技术措施</w:t>
            </w:r>
          </w:p>
          <w:p>
            <w:pPr>
              <w:pStyle w:val="11"/>
              <w:rPr>
                <w:rFonts w:hint="eastAsia" w:asciiTheme="majorEastAsia" w:hAnsiTheme="majorEastAsia" w:eastAsiaTheme="majorEastAsia" w:cstheme="majorEastAsia"/>
                <w:color w:val="FF0000"/>
                <w:sz w:val="21"/>
                <w:szCs w:val="21"/>
                <w:highlight w:val="none"/>
                <w:lang w:val="en-US" w:eastAsia="zh-CN"/>
              </w:rPr>
            </w:pPr>
            <w:r>
              <w:rPr>
                <w:rFonts w:hint="eastAsia" w:asciiTheme="majorEastAsia" w:hAnsiTheme="majorEastAsia" w:eastAsiaTheme="majorEastAsia" w:cstheme="majorEastAsia"/>
                <w:color w:val="FF0000"/>
                <w:sz w:val="21"/>
                <w:szCs w:val="21"/>
                <w:highlight w:val="none"/>
                <w:lang w:val="en-US" w:eastAsia="zh-CN"/>
              </w:rPr>
              <w:t>2.局部通风机有消音装置，进气口有完整防护网和集流器，高压部位有衬垫，各部件连接完好，不漏风。局部通风机及其启动装置安设在进风巷道中，地点距回风口大于10m，且10m范围内巷道支护完好，无淋水、积水、淤泥和杂物；局部通风机离巷道底板高度不小于0.3m</w:t>
            </w:r>
          </w:p>
          <w:p>
            <w:pPr>
              <w:pStyle w:val="11"/>
              <w:rPr>
                <w:rFonts w:hint="eastAsia" w:asciiTheme="majorEastAsia" w:hAnsiTheme="majorEastAsia" w:eastAsiaTheme="majorEastAsia" w:cstheme="majorEastAsia"/>
                <w:b/>
                <w:bCs/>
                <w:sz w:val="21"/>
                <w:szCs w:val="21"/>
                <w:highlight w:val="none"/>
                <w:lang w:val="en-US" w:eastAsia="zh-CN"/>
              </w:rPr>
            </w:pPr>
            <w:r>
              <w:rPr>
                <w:rFonts w:hint="eastAsia" w:asciiTheme="majorEastAsia" w:hAnsiTheme="majorEastAsia" w:eastAsiaTheme="majorEastAsia" w:cstheme="majorEastAsia"/>
                <w:b/>
                <w:bCs/>
                <w:sz w:val="21"/>
                <w:szCs w:val="21"/>
                <w:highlight w:val="none"/>
                <w:lang w:val="en-US" w:eastAsia="zh-CN"/>
              </w:rPr>
              <w:t>风筒敷设</w:t>
            </w:r>
          </w:p>
          <w:p>
            <w:pPr>
              <w:pStyle w:val="11"/>
              <w:rPr>
                <w:rFonts w:hint="eastAsia" w:asciiTheme="majorEastAsia" w:hAnsiTheme="majorEastAsia" w:eastAsiaTheme="majorEastAsia" w:cstheme="majorEastAsia"/>
                <w:color w:val="FF0000"/>
                <w:sz w:val="21"/>
                <w:szCs w:val="21"/>
                <w:highlight w:val="none"/>
                <w:lang w:val="en-US" w:eastAsia="zh-CN"/>
              </w:rPr>
            </w:pPr>
            <w:r>
              <w:rPr>
                <w:rFonts w:hint="eastAsia" w:asciiTheme="majorEastAsia" w:hAnsiTheme="majorEastAsia" w:eastAsiaTheme="majorEastAsia" w:cstheme="majorEastAsia"/>
                <w:color w:val="FF0000"/>
                <w:sz w:val="21"/>
                <w:szCs w:val="21"/>
                <w:highlight w:val="none"/>
                <w:lang w:val="en-US" w:eastAsia="zh-CN"/>
              </w:rPr>
              <w:t>1.风筒口到工作面的距离符合作业规程规定；自动切换的交叉风筒与使用的风筒筒径一致，交叉风筒不安设在巷道拐弯处且与2台局部通风机方位相一致，不漏风</w:t>
            </w:r>
          </w:p>
          <w:p>
            <w:pPr>
              <w:pStyle w:val="11"/>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color w:val="FF0000"/>
                <w:sz w:val="21"/>
                <w:szCs w:val="21"/>
                <w:highlight w:val="none"/>
                <w:lang w:val="en-US" w:eastAsia="zh-CN"/>
              </w:rPr>
              <w:t>2.风筒实行编号管理。风筒接头严密，无破口（末端20m除外），</w:t>
            </w:r>
            <w:r>
              <w:rPr>
                <w:rFonts w:hint="eastAsia" w:asciiTheme="majorEastAsia" w:hAnsiTheme="majorEastAsia" w:eastAsiaTheme="majorEastAsia" w:cstheme="majorEastAsia"/>
                <w:sz w:val="21"/>
                <w:szCs w:val="21"/>
                <w:highlight w:val="none"/>
                <w:lang w:val="en-US" w:eastAsia="zh-CN"/>
              </w:rPr>
              <w:t>无反接头；</w:t>
            </w:r>
            <w:r>
              <w:rPr>
                <w:rFonts w:hint="eastAsia" w:asciiTheme="majorEastAsia" w:hAnsiTheme="majorEastAsia" w:eastAsiaTheme="majorEastAsia" w:cstheme="majorEastAsia"/>
                <w:color w:val="FF0000"/>
                <w:sz w:val="21"/>
                <w:szCs w:val="21"/>
                <w:highlight w:val="none"/>
                <w:lang w:val="en-US" w:eastAsia="zh-CN"/>
              </w:rPr>
              <w:t>软质风筒</w:t>
            </w:r>
            <w:r>
              <w:rPr>
                <w:rFonts w:hint="eastAsia" w:asciiTheme="majorEastAsia" w:hAnsiTheme="majorEastAsia" w:eastAsiaTheme="majorEastAsia" w:cstheme="majorEastAsia"/>
                <w:sz w:val="21"/>
                <w:szCs w:val="21"/>
                <w:highlight w:val="none"/>
                <w:lang w:val="en-US" w:eastAsia="zh-CN"/>
              </w:rPr>
              <w:t>接头反压边，</w:t>
            </w:r>
            <w:r>
              <w:rPr>
                <w:rFonts w:hint="eastAsia" w:asciiTheme="majorEastAsia" w:hAnsiTheme="majorEastAsia" w:eastAsiaTheme="majorEastAsia" w:cstheme="majorEastAsia"/>
                <w:color w:val="FF0000"/>
                <w:sz w:val="21"/>
                <w:szCs w:val="21"/>
                <w:highlight w:val="none"/>
                <w:lang w:val="en-US" w:eastAsia="zh-CN"/>
              </w:rPr>
              <w:t>无丝绳或者卡箍捆扎，硬质风筒接头加垫、螺钉紧固</w:t>
            </w:r>
          </w:p>
          <w:p>
            <w:pPr>
              <w:pStyle w:val="11"/>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3.风筒吊挂平、直、稳，</w:t>
            </w:r>
            <w:r>
              <w:rPr>
                <w:rFonts w:hint="eastAsia" w:asciiTheme="majorEastAsia" w:hAnsiTheme="majorEastAsia" w:eastAsiaTheme="majorEastAsia" w:cstheme="majorEastAsia"/>
                <w:color w:val="FF0000"/>
                <w:sz w:val="21"/>
                <w:szCs w:val="21"/>
                <w:highlight w:val="none"/>
                <w:lang w:val="en-US" w:eastAsia="zh-CN"/>
              </w:rPr>
              <w:t>软质</w:t>
            </w:r>
            <w:r>
              <w:rPr>
                <w:rFonts w:hint="eastAsia" w:asciiTheme="majorEastAsia" w:hAnsiTheme="majorEastAsia" w:eastAsiaTheme="majorEastAsia" w:cstheme="majorEastAsia"/>
                <w:sz w:val="21"/>
                <w:szCs w:val="21"/>
                <w:highlight w:val="none"/>
                <w:lang w:val="en-US" w:eastAsia="zh-CN"/>
              </w:rPr>
              <w:t>风筒逢环必挂</w:t>
            </w:r>
            <w:r>
              <w:rPr>
                <w:rFonts w:hint="eastAsia" w:asciiTheme="majorEastAsia" w:hAnsiTheme="majorEastAsia" w:eastAsiaTheme="majorEastAsia" w:cstheme="majorEastAsia"/>
                <w:color w:val="FF0000"/>
                <w:sz w:val="21"/>
                <w:szCs w:val="21"/>
                <w:highlight w:val="none"/>
                <w:lang w:val="en-US" w:eastAsia="zh-CN"/>
              </w:rPr>
              <w:t>，硬质风筒每节至少吊挂2处；风筒不被摩擦、挤压</w:t>
            </w:r>
          </w:p>
          <w:p>
            <w:pPr>
              <w:pStyle w:val="11"/>
              <w:rPr>
                <w:rFonts w:hint="eastAsia" w:asciiTheme="majorEastAsia" w:hAnsiTheme="majorEastAsia" w:eastAsiaTheme="majorEastAsia" w:cstheme="majorEastAsia"/>
                <w:color w:val="FF0000"/>
                <w:sz w:val="21"/>
                <w:szCs w:val="21"/>
                <w:highlight w:val="none"/>
                <w:lang w:val="en-US" w:eastAsia="zh-CN"/>
              </w:rPr>
            </w:pPr>
            <w:r>
              <w:rPr>
                <w:rFonts w:hint="eastAsia" w:asciiTheme="majorEastAsia" w:hAnsiTheme="majorEastAsia" w:eastAsiaTheme="majorEastAsia" w:cstheme="majorEastAsia"/>
                <w:color w:val="FF0000"/>
                <w:sz w:val="21"/>
                <w:szCs w:val="21"/>
                <w:highlight w:val="none"/>
                <w:lang w:val="en-US" w:eastAsia="zh-CN"/>
              </w:rPr>
              <w:t>4.风筒拐弯处用弯头或者骨架风筒缓慢拐弯，不拐死弯；异径风筒接头采用过渡节，无花接</w:t>
            </w:r>
          </w:p>
          <w:p>
            <w:pPr>
              <w:pStyle w:val="2"/>
              <w:rPr>
                <w:rFonts w:hint="eastAsia" w:asciiTheme="majorEastAsia" w:hAnsiTheme="majorEastAsia" w:eastAsiaTheme="majorEastAsia" w:cstheme="majorEastAsia"/>
                <w:sz w:val="21"/>
                <w:szCs w:val="21"/>
                <w:highlight w:val="none"/>
              </w:rPr>
            </w:pPr>
          </w:p>
        </w:tc>
        <w:tc>
          <w:tcPr>
            <w:tcW w:w="3010" w:type="dxa"/>
            <w:tcBorders>
              <w:tl2br w:val="nil"/>
              <w:tr2bl w:val="nil"/>
            </w:tcBorders>
            <w:vAlign w:val="center"/>
          </w:tcPr>
          <w:p>
            <w:pPr>
              <w:widowControl/>
              <w:textAlignment w:val="center"/>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不再细化风机安设及风筒敷设相关要求，明确风筒</w:t>
            </w:r>
            <w:r>
              <w:rPr>
                <w:rFonts w:hint="eastAsia" w:asciiTheme="majorEastAsia" w:hAnsiTheme="majorEastAsia" w:eastAsiaTheme="majorEastAsia" w:cstheme="majorEastAsia"/>
                <w:bCs/>
                <w:color w:val="auto"/>
                <w:kern w:val="0"/>
                <w:sz w:val="21"/>
                <w:szCs w:val="21"/>
                <w:highlight w:val="none"/>
              </w:rPr>
              <w:t>风筒接头严密，无反接头，压边到位</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535" w:hRule="atLeast"/>
        </w:trPr>
        <w:tc>
          <w:tcPr>
            <w:tcW w:w="1019"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1065" w:type="dxa"/>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设施管理</w:t>
            </w:r>
          </w:p>
        </w:tc>
        <w:tc>
          <w:tcPr>
            <w:tcW w:w="4901" w:type="dxa"/>
            <w:tcBorders>
              <w:tl2br w:val="nil"/>
              <w:tr2bl w:val="nil"/>
            </w:tcBorders>
            <w:vAlign w:val="center"/>
          </w:tcPr>
          <w:p>
            <w:pPr>
              <w:widowControl/>
              <w:jc w:val="left"/>
              <w:textAlignment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kern w:val="0"/>
                <w:sz w:val="21"/>
                <w:szCs w:val="21"/>
                <w:highlight w:val="none"/>
              </w:rPr>
              <w:t>1.密闭、风门、风桥及风窗墙（桥）体采用不燃性材料构筑，其厚度不小于0.5m（防突风门、风窗墙体不小于0.8m），墙体周边按规定掏槽，周边及围岩不漏风</w:t>
            </w:r>
            <w:r>
              <w:rPr>
                <w:rFonts w:hint="eastAsia" w:asciiTheme="majorEastAsia" w:hAnsiTheme="majorEastAsia" w:eastAsiaTheme="majorEastAsia" w:cstheme="majorEastAsia"/>
                <w:color w:val="auto"/>
                <w:kern w:val="0"/>
                <w:sz w:val="21"/>
                <w:szCs w:val="21"/>
                <w:highlight w:val="none"/>
              </w:rPr>
              <w:t>，墙（桥）面平整无破裂；</w:t>
            </w:r>
          </w:p>
          <w:p>
            <w:pPr>
              <w:widowControl/>
              <w:jc w:val="left"/>
              <w:textAlignment w:val="center"/>
              <w:rPr>
                <w:rFonts w:hint="eastAsia" w:asciiTheme="majorEastAsia" w:hAnsiTheme="majorEastAsia" w:eastAsiaTheme="majorEastAsia" w:cstheme="majorEastAsia"/>
                <w:color w:val="0000FF"/>
                <w:kern w:val="0"/>
                <w:sz w:val="21"/>
                <w:szCs w:val="21"/>
                <w:highlight w:val="none"/>
              </w:rPr>
            </w:pPr>
            <w:r>
              <w:rPr>
                <w:rFonts w:hint="eastAsia" w:asciiTheme="majorEastAsia" w:hAnsiTheme="majorEastAsia" w:eastAsiaTheme="majorEastAsia" w:cstheme="majorEastAsia"/>
                <w:kern w:val="0"/>
                <w:sz w:val="21"/>
                <w:szCs w:val="21"/>
                <w:highlight w:val="none"/>
              </w:rPr>
              <w:t>2.通向采空区的巷道、不用或报废的巷道、盲巷等应及时设置永久性密闭；</w:t>
            </w:r>
            <w:r>
              <w:rPr>
                <w:rFonts w:hint="eastAsia" w:asciiTheme="majorEastAsia" w:hAnsiTheme="majorEastAsia" w:eastAsiaTheme="majorEastAsia" w:cstheme="majorEastAsia"/>
                <w:color w:val="0000FF"/>
                <w:kern w:val="0"/>
                <w:sz w:val="21"/>
                <w:szCs w:val="21"/>
                <w:highlight w:val="none"/>
              </w:rPr>
              <w:t>采空区密闭位置距全风压巷道口4～5m，密闭墙前设有栅栏及警告标志牌；</w:t>
            </w:r>
          </w:p>
          <w:p>
            <w:pPr>
              <w:widowControl/>
              <w:jc w:val="left"/>
              <w:textAlignment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kern w:val="0"/>
                <w:sz w:val="21"/>
                <w:szCs w:val="21"/>
                <w:highlight w:val="none"/>
              </w:rPr>
              <w:t>3.需控风巷道每处安装不少于2道连锁风门、按规定安装反向风门</w:t>
            </w:r>
            <w:r>
              <w:rPr>
                <w:rFonts w:hint="eastAsia" w:asciiTheme="majorEastAsia" w:hAnsiTheme="majorEastAsia" w:eastAsiaTheme="majorEastAsia" w:cstheme="majorEastAsia"/>
                <w:color w:val="0000FF"/>
                <w:kern w:val="0"/>
                <w:sz w:val="21"/>
                <w:szCs w:val="21"/>
                <w:highlight w:val="none"/>
              </w:rPr>
              <w:t>（具备正、反向控制功能的风门除外）</w:t>
            </w:r>
            <w:r>
              <w:rPr>
                <w:rFonts w:hint="eastAsia" w:asciiTheme="majorEastAsia" w:hAnsiTheme="majorEastAsia" w:eastAsiaTheme="majorEastAsia" w:cstheme="majorEastAsia"/>
                <w:kern w:val="0"/>
                <w:sz w:val="21"/>
                <w:szCs w:val="21"/>
                <w:highlight w:val="none"/>
              </w:rPr>
              <w:t>，风门能自动关闭，任意2道风门之间距离</w:t>
            </w:r>
            <w:r>
              <w:rPr>
                <w:rFonts w:hint="eastAsia" w:asciiTheme="majorEastAsia" w:hAnsiTheme="majorEastAsia" w:eastAsiaTheme="majorEastAsia" w:cstheme="majorEastAsia"/>
                <w:color w:val="0000FF"/>
                <w:kern w:val="0"/>
                <w:sz w:val="21"/>
                <w:szCs w:val="21"/>
                <w:highlight w:val="none"/>
              </w:rPr>
              <w:t>不小于4m</w:t>
            </w:r>
            <w:r>
              <w:rPr>
                <w:rFonts w:hint="eastAsia" w:asciiTheme="majorEastAsia" w:hAnsiTheme="majorEastAsia" w:eastAsiaTheme="majorEastAsia" w:cstheme="majorEastAsia"/>
                <w:kern w:val="0"/>
                <w:sz w:val="21"/>
                <w:szCs w:val="21"/>
                <w:highlight w:val="none"/>
              </w:rPr>
              <w:t>，</w:t>
            </w:r>
            <w:r>
              <w:rPr>
                <w:rFonts w:hint="eastAsia" w:asciiTheme="majorEastAsia" w:hAnsiTheme="majorEastAsia" w:eastAsiaTheme="majorEastAsia" w:cstheme="majorEastAsia"/>
                <w:color w:val="0000FF"/>
                <w:kern w:val="0"/>
                <w:sz w:val="21"/>
                <w:szCs w:val="21"/>
                <w:highlight w:val="none"/>
              </w:rPr>
              <w:t>通车风门能自动打开</w:t>
            </w:r>
            <w:r>
              <w:rPr>
                <w:rFonts w:hint="eastAsia" w:asciiTheme="majorEastAsia" w:hAnsiTheme="majorEastAsia" w:eastAsiaTheme="majorEastAsia" w:cstheme="majorEastAsia"/>
                <w:kern w:val="0"/>
                <w:sz w:val="21"/>
                <w:szCs w:val="21"/>
                <w:highlight w:val="none"/>
              </w:rPr>
              <w:t>并有声光信号，且2道风门之</w:t>
            </w:r>
            <w:r>
              <w:rPr>
                <w:rFonts w:hint="eastAsia" w:asciiTheme="majorEastAsia" w:hAnsiTheme="majorEastAsia" w:eastAsiaTheme="majorEastAsia" w:cstheme="majorEastAsia"/>
                <w:color w:val="auto"/>
                <w:kern w:val="0"/>
                <w:sz w:val="21"/>
                <w:szCs w:val="21"/>
                <w:highlight w:val="none"/>
              </w:rPr>
              <w:t>间距离不得小于运输工具长度；</w:t>
            </w:r>
          </w:p>
          <w:p>
            <w:pPr>
              <w:widowControl/>
              <w:jc w:val="left"/>
              <w:textAlignment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4.风桥上、下变坡度小于30°，不设风门及风窗；</w:t>
            </w:r>
          </w:p>
          <w:p>
            <w:pPr>
              <w:widowControl/>
              <w:jc w:val="left"/>
              <w:textAlignment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5.</w:t>
            </w:r>
            <w:r>
              <w:rPr>
                <w:rFonts w:hint="eastAsia" w:asciiTheme="majorEastAsia" w:hAnsiTheme="majorEastAsia" w:eastAsiaTheme="majorEastAsia" w:cstheme="majorEastAsia"/>
                <w:color w:val="0000FF"/>
                <w:kern w:val="0"/>
                <w:sz w:val="21"/>
                <w:szCs w:val="21"/>
                <w:highlight w:val="none"/>
              </w:rPr>
              <w:t>设置调节风窗位置距全风压巷道口均不超过6m</w:t>
            </w:r>
            <w:r>
              <w:rPr>
                <w:rFonts w:hint="eastAsia" w:asciiTheme="majorEastAsia" w:hAnsiTheme="majorEastAsia" w:eastAsiaTheme="majorEastAsia" w:cstheme="majorEastAsia"/>
                <w:color w:val="auto"/>
                <w:kern w:val="0"/>
                <w:sz w:val="21"/>
                <w:szCs w:val="21"/>
                <w:highlight w:val="none"/>
              </w:rPr>
              <w:t>，风窗有可靠调控装置</w:t>
            </w:r>
          </w:p>
        </w:tc>
        <w:tc>
          <w:tcPr>
            <w:tcW w:w="3943" w:type="dxa"/>
            <w:tcBorders>
              <w:tl2br w:val="nil"/>
              <w:tr2bl w:val="nil"/>
            </w:tcBorders>
            <w:vAlign w:val="center"/>
          </w:tcPr>
          <w:p>
            <w:pPr>
              <w:pStyle w:val="11"/>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设施管理</w:t>
            </w:r>
          </w:p>
          <w:p>
            <w:pPr>
              <w:pStyle w:val="11"/>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1.有构筑通风设施（指永久密闭、风门、风窗和风桥）</w:t>
            </w:r>
            <w:r>
              <w:rPr>
                <w:rFonts w:hint="eastAsia" w:asciiTheme="majorEastAsia" w:hAnsiTheme="majorEastAsia" w:eastAsiaTheme="majorEastAsia" w:cstheme="majorEastAsia"/>
                <w:color w:val="FF0000"/>
                <w:kern w:val="0"/>
                <w:sz w:val="21"/>
                <w:szCs w:val="21"/>
                <w:highlight w:val="none"/>
              </w:rPr>
              <w:t>设计方案及安全措施</w:t>
            </w:r>
            <w:r>
              <w:rPr>
                <w:rFonts w:hint="eastAsia" w:asciiTheme="majorEastAsia" w:hAnsiTheme="majorEastAsia" w:eastAsiaTheme="majorEastAsia" w:cstheme="majorEastAsia"/>
                <w:kern w:val="0"/>
                <w:sz w:val="21"/>
                <w:szCs w:val="21"/>
                <w:highlight w:val="none"/>
              </w:rPr>
              <w:t>，设施墙（桥）体采用不燃性材料构筑，其厚度不小于0.5m（防突风门、风窗墙体不小于0.8m），严密不漏风</w:t>
            </w:r>
          </w:p>
          <w:p>
            <w:pPr>
              <w:pStyle w:val="11"/>
              <w:rPr>
                <w:rFonts w:hint="eastAsia" w:asciiTheme="majorEastAsia" w:hAnsiTheme="majorEastAsia" w:eastAsiaTheme="majorEastAsia" w:cstheme="majorEastAsia"/>
                <w:color w:val="FF0000"/>
                <w:kern w:val="0"/>
                <w:sz w:val="21"/>
                <w:szCs w:val="21"/>
                <w:highlight w:val="none"/>
              </w:rPr>
            </w:pPr>
            <w:r>
              <w:rPr>
                <w:rFonts w:hint="eastAsia" w:asciiTheme="majorEastAsia" w:hAnsiTheme="majorEastAsia" w:eastAsiaTheme="majorEastAsia" w:cstheme="majorEastAsia"/>
                <w:kern w:val="0"/>
                <w:sz w:val="21"/>
                <w:szCs w:val="21"/>
                <w:highlight w:val="none"/>
              </w:rPr>
              <w:t>2.密闭、风门、风窗墙体周边按规定掏槽，</w:t>
            </w:r>
            <w:r>
              <w:rPr>
                <w:rFonts w:hint="eastAsia" w:asciiTheme="majorEastAsia" w:hAnsiTheme="majorEastAsia" w:eastAsiaTheme="majorEastAsia" w:cstheme="majorEastAsia"/>
                <w:color w:val="FF0000"/>
                <w:kern w:val="0"/>
                <w:sz w:val="21"/>
                <w:szCs w:val="21"/>
                <w:highlight w:val="none"/>
              </w:rPr>
              <w:t>墙体与煤岩接实，四周有不少于0.1m的裙边，</w:t>
            </w:r>
            <w:r>
              <w:rPr>
                <w:rFonts w:hint="eastAsia" w:asciiTheme="majorEastAsia" w:hAnsiTheme="majorEastAsia" w:eastAsiaTheme="majorEastAsia" w:cstheme="majorEastAsia"/>
                <w:kern w:val="0"/>
                <w:sz w:val="21"/>
                <w:szCs w:val="21"/>
                <w:highlight w:val="none"/>
              </w:rPr>
              <w:t>周边及围岩不漏风；墙面平整，无裂缝、重缝和空缝</w:t>
            </w:r>
            <w:r>
              <w:rPr>
                <w:rFonts w:hint="eastAsia" w:asciiTheme="majorEastAsia" w:hAnsiTheme="majorEastAsia" w:eastAsiaTheme="majorEastAsia" w:cstheme="majorEastAsia"/>
                <w:color w:val="FF0000"/>
                <w:kern w:val="0"/>
                <w:sz w:val="21"/>
                <w:szCs w:val="21"/>
                <w:highlight w:val="none"/>
              </w:rPr>
              <w:t>，并进行勾缝或者抹面或者喷浆，抹面的墙面1m</w:t>
            </w:r>
            <w:r>
              <w:rPr>
                <w:rFonts w:hint="eastAsia" w:asciiTheme="majorEastAsia" w:hAnsiTheme="majorEastAsia" w:eastAsiaTheme="majorEastAsia" w:cstheme="majorEastAsia"/>
                <w:color w:val="FF0000"/>
                <w:kern w:val="0"/>
                <w:sz w:val="21"/>
                <w:szCs w:val="21"/>
                <w:highlight w:val="none"/>
                <w:vertAlign w:val="superscript"/>
              </w:rPr>
              <w:t>2</w:t>
            </w:r>
            <w:r>
              <w:rPr>
                <w:rFonts w:hint="eastAsia" w:asciiTheme="majorEastAsia" w:hAnsiTheme="majorEastAsia" w:eastAsiaTheme="majorEastAsia" w:cstheme="majorEastAsia"/>
                <w:color w:val="FF0000"/>
                <w:kern w:val="0"/>
                <w:sz w:val="21"/>
                <w:szCs w:val="21"/>
                <w:highlight w:val="none"/>
              </w:rPr>
              <w:t>内凸凹深度不大于10mm</w:t>
            </w:r>
          </w:p>
          <w:p>
            <w:pPr>
              <w:pStyle w:val="11"/>
              <w:rPr>
                <w:rFonts w:hint="eastAsia" w:asciiTheme="majorEastAsia" w:hAnsiTheme="majorEastAsia" w:eastAsiaTheme="majorEastAsia" w:cstheme="majorEastAsia"/>
                <w:color w:val="FF0000"/>
                <w:kern w:val="0"/>
                <w:sz w:val="21"/>
                <w:szCs w:val="21"/>
                <w:highlight w:val="none"/>
              </w:rPr>
            </w:pPr>
            <w:r>
              <w:rPr>
                <w:rFonts w:hint="eastAsia" w:asciiTheme="majorEastAsia" w:hAnsiTheme="majorEastAsia" w:eastAsiaTheme="majorEastAsia" w:cstheme="majorEastAsia"/>
                <w:color w:val="FF0000"/>
                <w:kern w:val="0"/>
                <w:sz w:val="21"/>
                <w:szCs w:val="21"/>
                <w:highlight w:val="none"/>
              </w:rPr>
              <w:t>3.设施5m范围内支护完好，无片帮、漏顶、杂物、积水和淤泥</w:t>
            </w:r>
          </w:p>
          <w:p>
            <w:pPr>
              <w:pStyle w:val="11"/>
              <w:rPr>
                <w:rFonts w:hint="eastAsia" w:asciiTheme="majorEastAsia" w:hAnsiTheme="majorEastAsia" w:eastAsiaTheme="majorEastAsia" w:cstheme="majorEastAsia"/>
                <w:color w:val="FF0000"/>
                <w:kern w:val="0"/>
                <w:sz w:val="21"/>
                <w:szCs w:val="21"/>
                <w:highlight w:val="none"/>
              </w:rPr>
            </w:pPr>
            <w:r>
              <w:rPr>
                <w:rFonts w:hint="eastAsia" w:asciiTheme="majorEastAsia" w:hAnsiTheme="majorEastAsia" w:eastAsiaTheme="majorEastAsia" w:cstheme="majorEastAsia"/>
                <w:color w:val="FF0000"/>
                <w:kern w:val="0"/>
                <w:sz w:val="21"/>
                <w:szCs w:val="21"/>
                <w:highlight w:val="none"/>
              </w:rPr>
              <w:t>4.设施统一编号，每道设施有规格统一的施工说明及检查维护记录牌，风门及采空区密闭每周、其他设施每月至少检查1次设施完好及使用情况，有设施检修记录及管理台账</w:t>
            </w:r>
          </w:p>
          <w:p>
            <w:pPr>
              <w:pStyle w:val="11"/>
              <w:rPr>
                <w:rFonts w:hint="eastAsia" w:asciiTheme="majorEastAsia" w:hAnsiTheme="majorEastAsia" w:eastAsiaTheme="majorEastAsia" w:cstheme="majorEastAsia"/>
                <w:b/>
                <w:bCs/>
                <w:kern w:val="0"/>
                <w:sz w:val="21"/>
                <w:szCs w:val="21"/>
                <w:highlight w:val="none"/>
              </w:rPr>
            </w:pPr>
            <w:r>
              <w:rPr>
                <w:rFonts w:hint="eastAsia" w:asciiTheme="majorEastAsia" w:hAnsiTheme="majorEastAsia" w:eastAsiaTheme="majorEastAsia" w:cstheme="majorEastAsia"/>
                <w:b/>
                <w:bCs/>
                <w:kern w:val="0"/>
                <w:sz w:val="21"/>
                <w:szCs w:val="21"/>
                <w:highlight w:val="none"/>
              </w:rPr>
              <w:t>密闭</w:t>
            </w:r>
          </w:p>
          <w:p>
            <w:pPr>
              <w:pStyle w:val="11"/>
              <w:rPr>
                <w:rFonts w:hint="eastAsia" w:asciiTheme="majorEastAsia" w:hAnsiTheme="majorEastAsia" w:eastAsiaTheme="majorEastAsia" w:cstheme="majorEastAsia"/>
                <w:color w:val="FF0000"/>
                <w:kern w:val="0"/>
                <w:sz w:val="21"/>
                <w:szCs w:val="21"/>
                <w:highlight w:val="none"/>
              </w:rPr>
            </w:pPr>
            <w:r>
              <w:rPr>
                <w:rFonts w:hint="eastAsia" w:asciiTheme="majorEastAsia" w:hAnsiTheme="majorEastAsia" w:eastAsiaTheme="majorEastAsia" w:cstheme="majorEastAsia"/>
                <w:kern w:val="0"/>
                <w:sz w:val="21"/>
                <w:szCs w:val="21"/>
                <w:highlight w:val="none"/>
              </w:rPr>
              <w:t>1.密闭位置距全风压巷道口不大于5m，设有规格统一的瓦斯检查牌板和警标，距巷道口大于2m的设置栅栏；密闭前无瓦斯积聚。</w:t>
            </w:r>
            <w:r>
              <w:rPr>
                <w:rFonts w:hint="eastAsia" w:asciiTheme="majorEastAsia" w:hAnsiTheme="majorEastAsia" w:eastAsiaTheme="majorEastAsia" w:cstheme="majorEastAsia"/>
                <w:color w:val="FF0000"/>
                <w:kern w:val="0"/>
                <w:sz w:val="21"/>
                <w:szCs w:val="21"/>
                <w:highlight w:val="none"/>
              </w:rPr>
              <w:t>所有导电体在密闭处断开（在用管路采取绝缘措施处理的除外）</w:t>
            </w:r>
          </w:p>
          <w:p>
            <w:pPr>
              <w:pStyle w:val="11"/>
              <w:rPr>
                <w:rFonts w:hint="eastAsia" w:asciiTheme="majorEastAsia" w:hAnsiTheme="majorEastAsia" w:eastAsiaTheme="majorEastAsia" w:cstheme="majorEastAsia"/>
                <w:color w:val="FF0000"/>
                <w:kern w:val="0"/>
                <w:sz w:val="21"/>
                <w:szCs w:val="21"/>
                <w:highlight w:val="none"/>
              </w:rPr>
            </w:pPr>
            <w:r>
              <w:rPr>
                <w:rFonts w:hint="eastAsia" w:asciiTheme="majorEastAsia" w:hAnsiTheme="majorEastAsia" w:eastAsiaTheme="majorEastAsia" w:cstheme="majorEastAsia"/>
                <w:color w:val="FF0000"/>
                <w:kern w:val="0"/>
                <w:sz w:val="21"/>
                <w:szCs w:val="21"/>
                <w:highlight w:val="none"/>
              </w:rPr>
              <w:t>2.密闭内有水时设有反水池或者反水管，采空区密闭设有观测孔、措施孔，且孔口设置阀门或者带有水封结构</w:t>
            </w:r>
          </w:p>
          <w:p>
            <w:pPr>
              <w:pStyle w:val="11"/>
              <w:rPr>
                <w:rFonts w:hint="eastAsia" w:asciiTheme="majorEastAsia" w:hAnsiTheme="majorEastAsia" w:eastAsiaTheme="majorEastAsia" w:cstheme="majorEastAsia"/>
                <w:b/>
                <w:bCs/>
                <w:kern w:val="0"/>
                <w:sz w:val="21"/>
                <w:szCs w:val="21"/>
                <w:highlight w:val="none"/>
              </w:rPr>
            </w:pPr>
            <w:r>
              <w:rPr>
                <w:rFonts w:hint="eastAsia" w:asciiTheme="majorEastAsia" w:hAnsiTheme="majorEastAsia" w:eastAsiaTheme="majorEastAsia" w:cstheme="majorEastAsia"/>
                <w:b/>
                <w:bCs/>
                <w:kern w:val="0"/>
                <w:sz w:val="21"/>
                <w:szCs w:val="21"/>
                <w:highlight w:val="none"/>
              </w:rPr>
              <w:t>风门风窗</w:t>
            </w:r>
          </w:p>
          <w:p>
            <w:pPr>
              <w:pStyle w:val="11"/>
              <w:rPr>
                <w:rFonts w:hint="eastAsia" w:asciiTheme="majorEastAsia" w:hAnsiTheme="majorEastAsia" w:eastAsiaTheme="majorEastAsia" w:cstheme="majorEastAsia"/>
                <w:color w:val="FF0000"/>
                <w:kern w:val="0"/>
                <w:sz w:val="21"/>
                <w:szCs w:val="21"/>
                <w:highlight w:val="none"/>
              </w:rPr>
            </w:pPr>
            <w:r>
              <w:rPr>
                <w:rFonts w:hint="eastAsia" w:asciiTheme="majorEastAsia" w:hAnsiTheme="majorEastAsia" w:eastAsiaTheme="majorEastAsia" w:cstheme="majorEastAsia"/>
                <w:kern w:val="0"/>
                <w:sz w:val="21"/>
                <w:szCs w:val="21"/>
                <w:highlight w:val="none"/>
              </w:rPr>
              <w:t>1.</w:t>
            </w:r>
            <w:r>
              <w:rPr>
                <w:rFonts w:hint="eastAsia" w:asciiTheme="majorEastAsia" w:hAnsiTheme="majorEastAsia" w:eastAsiaTheme="majorEastAsia" w:cstheme="majorEastAsia"/>
                <w:color w:val="FF0000"/>
                <w:kern w:val="0"/>
                <w:sz w:val="21"/>
                <w:szCs w:val="21"/>
                <w:highlight w:val="none"/>
              </w:rPr>
              <w:t>每组</w:t>
            </w:r>
            <w:r>
              <w:rPr>
                <w:rFonts w:hint="eastAsia" w:asciiTheme="majorEastAsia" w:hAnsiTheme="majorEastAsia" w:eastAsiaTheme="majorEastAsia" w:cstheme="majorEastAsia"/>
                <w:kern w:val="0"/>
                <w:sz w:val="21"/>
                <w:szCs w:val="21"/>
                <w:highlight w:val="none"/>
              </w:rPr>
              <w:t>风门不少于2道（含主要进、回风巷之间的联络巷设的反向风门），其间距不小于5m（通车风门间距不小于1列（辆）车长度）；通车风门设有发出声光信号的装置</w:t>
            </w:r>
            <w:r>
              <w:rPr>
                <w:rFonts w:hint="eastAsia" w:asciiTheme="majorEastAsia" w:hAnsiTheme="majorEastAsia" w:eastAsiaTheme="majorEastAsia" w:cstheme="majorEastAsia"/>
                <w:color w:val="FF0000"/>
                <w:kern w:val="0"/>
                <w:sz w:val="21"/>
                <w:szCs w:val="21"/>
                <w:highlight w:val="none"/>
              </w:rPr>
              <w:t>，且声光信号在风门两侧都能接收</w:t>
            </w:r>
          </w:p>
          <w:p>
            <w:pPr>
              <w:pStyle w:val="11"/>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2.风门能自动关闭并连锁</w:t>
            </w:r>
            <w:r>
              <w:rPr>
                <w:rFonts w:hint="eastAsia" w:asciiTheme="majorEastAsia" w:hAnsiTheme="majorEastAsia" w:eastAsiaTheme="majorEastAsia" w:cstheme="majorEastAsia"/>
                <w:color w:val="FF0000"/>
                <w:kern w:val="0"/>
                <w:sz w:val="21"/>
                <w:szCs w:val="21"/>
                <w:highlight w:val="none"/>
              </w:rPr>
              <w:t>，使2道风门不能同时打开；门框包边沿口有衬垫，四周接触严密，门扇平整不漏风；风窗有可调控装置，调节可靠</w:t>
            </w:r>
          </w:p>
          <w:p>
            <w:pPr>
              <w:pStyle w:val="11"/>
              <w:rPr>
                <w:rFonts w:hint="eastAsia" w:asciiTheme="majorEastAsia" w:hAnsiTheme="majorEastAsia" w:eastAsiaTheme="majorEastAsia" w:cstheme="majorEastAsia"/>
                <w:color w:val="FF0000"/>
                <w:kern w:val="0"/>
                <w:sz w:val="21"/>
                <w:szCs w:val="21"/>
                <w:highlight w:val="none"/>
              </w:rPr>
            </w:pPr>
            <w:r>
              <w:rPr>
                <w:rFonts w:hint="eastAsia" w:asciiTheme="majorEastAsia" w:hAnsiTheme="majorEastAsia" w:eastAsiaTheme="majorEastAsia" w:cstheme="majorEastAsia"/>
                <w:kern w:val="0"/>
                <w:sz w:val="21"/>
                <w:szCs w:val="21"/>
                <w:highlight w:val="none"/>
              </w:rPr>
              <w:t>3.</w:t>
            </w:r>
            <w:r>
              <w:rPr>
                <w:rFonts w:hint="eastAsia" w:asciiTheme="majorEastAsia" w:hAnsiTheme="majorEastAsia" w:eastAsiaTheme="majorEastAsia" w:cstheme="majorEastAsia"/>
                <w:color w:val="FF0000"/>
                <w:kern w:val="0"/>
                <w:sz w:val="21"/>
                <w:szCs w:val="21"/>
                <w:highlight w:val="none"/>
              </w:rPr>
              <w:t>风门、风窗水沟处设有反水池或者挡风帘，轨道巷通车风门设有底槛，电缆、管路孔堵严，风筒穿过风门（风窗）墙体时，在墙上安装与胶质风筒直径匹配的硬质风筒</w:t>
            </w:r>
          </w:p>
          <w:p>
            <w:pPr>
              <w:pStyle w:val="11"/>
              <w:rPr>
                <w:rFonts w:hint="eastAsia" w:asciiTheme="majorEastAsia" w:hAnsiTheme="majorEastAsia" w:eastAsiaTheme="majorEastAsia" w:cstheme="majorEastAsia"/>
                <w:b/>
                <w:bCs/>
                <w:kern w:val="0"/>
                <w:sz w:val="21"/>
                <w:szCs w:val="21"/>
                <w:highlight w:val="none"/>
              </w:rPr>
            </w:pPr>
            <w:r>
              <w:rPr>
                <w:rFonts w:hint="eastAsia" w:asciiTheme="majorEastAsia" w:hAnsiTheme="majorEastAsia" w:eastAsiaTheme="majorEastAsia" w:cstheme="majorEastAsia"/>
                <w:b/>
                <w:bCs/>
                <w:kern w:val="0"/>
                <w:sz w:val="21"/>
                <w:szCs w:val="21"/>
                <w:highlight w:val="none"/>
              </w:rPr>
              <w:t>风桥</w:t>
            </w:r>
          </w:p>
          <w:p>
            <w:pPr>
              <w:pStyle w:val="11"/>
              <w:rPr>
                <w:rFonts w:hint="eastAsia" w:asciiTheme="majorEastAsia" w:hAnsiTheme="majorEastAsia" w:eastAsiaTheme="majorEastAsia" w:cstheme="majorEastAsia"/>
                <w:color w:val="FF0000"/>
                <w:kern w:val="0"/>
                <w:sz w:val="21"/>
                <w:szCs w:val="21"/>
                <w:highlight w:val="none"/>
              </w:rPr>
            </w:pPr>
            <w:r>
              <w:rPr>
                <w:rFonts w:hint="eastAsia" w:asciiTheme="majorEastAsia" w:hAnsiTheme="majorEastAsia" w:eastAsiaTheme="majorEastAsia" w:cstheme="majorEastAsia"/>
                <w:color w:val="FF0000"/>
                <w:kern w:val="0"/>
                <w:sz w:val="21"/>
                <w:szCs w:val="21"/>
                <w:highlight w:val="none"/>
              </w:rPr>
              <w:t>1.风桥两端接口严密，四周为实帮、实底，用混凝土浇灌填实；桥面规整不漏风</w:t>
            </w:r>
          </w:p>
          <w:p>
            <w:pPr>
              <w:pStyle w:val="11"/>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kern w:val="0"/>
                <w:sz w:val="21"/>
                <w:szCs w:val="21"/>
                <w:highlight w:val="none"/>
              </w:rPr>
              <w:t>2.风桥</w:t>
            </w:r>
            <w:r>
              <w:rPr>
                <w:rFonts w:hint="eastAsia" w:asciiTheme="majorEastAsia" w:hAnsiTheme="majorEastAsia" w:eastAsiaTheme="majorEastAsia" w:cstheme="majorEastAsia"/>
                <w:color w:val="FF0000"/>
                <w:kern w:val="0"/>
                <w:sz w:val="21"/>
                <w:szCs w:val="21"/>
                <w:highlight w:val="none"/>
              </w:rPr>
              <w:t>通风断面不小于原巷道断面的4/5，呈流线型，</w:t>
            </w:r>
            <w:r>
              <w:rPr>
                <w:rFonts w:hint="eastAsia" w:asciiTheme="majorEastAsia" w:hAnsiTheme="majorEastAsia" w:eastAsiaTheme="majorEastAsia" w:cstheme="majorEastAsia"/>
                <w:kern w:val="0"/>
                <w:sz w:val="21"/>
                <w:szCs w:val="21"/>
                <w:highlight w:val="none"/>
              </w:rPr>
              <w:t>坡度小于30°；风桥上、下不安设风门、调节风窗等</w:t>
            </w:r>
          </w:p>
        </w:tc>
        <w:tc>
          <w:tcPr>
            <w:tcW w:w="3010" w:type="dxa"/>
            <w:tcBorders>
              <w:tl2br w:val="nil"/>
              <w:tr2bl w:val="nil"/>
            </w:tcBorders>
            <w:vAlign w:val="center"/>
          </w:tcPr>
          <w:p>
            <w:pPr>
              <w:pStyle w:val="11"/>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1.总体对通风设施进行概述，不再细化描述。</w:t>
            </w:r>
          </w:p>
          <w:p>
            <w:pPr>
              <w:pStyle w:val="11"/>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2.明确</w:t>
            </w:r>
            <w:r>
              <w:rPr>
                <w:rFonts w:hint="eastAsia" w:asciiTheme="majorEastAsia" w:hAnsiTheme="majorEastAsia" w:eastAsiaTheme="majorEastAsia" w:cstheme="majorEastAsia"/>
                <w:color w:val="auto"/>
                <w:kern w:val="0"/>
                <w:sz w:val="21"/>
                <w:szCs w:val="21"/>
                <w:highlight w:val="none"/>
              </w:rPr>
              <w:t>采空区密闭</w:t>
            </w:r>
            <w:r>
              <w:rPr>
                <w:rFonts w:hint="eastAsia" w:asciiTheme="majorEastAsia" w:hAnsiTheme="majorEastAsia" w:eastAsiaTheme="majorEastAsia" w:cstheme="majorEastAsia"/>
                <w:color w:val="auto"/>
                <w:kern w:val="0"/>
                <w:sz w:val="21"/>
                <w:szCs w:val="21"/>
                <w:highlight w:val="none"/>
                <w:lang w:val="en-US" w:eastAsia="zh-CN"/>
              </w:rPr>
              <w:t>构筑位置</w:t>
            </w:r>
            <w:r>
              <w:rPr>
                <w:rFonts w:hint="eastAsia" w:asciiTheme="majorEastAsia" w:hAnsiTheme="majorEastAsia" w:eastAsiaTheme="majorEastAsia" w:cstheme="majorEastAsia"/>
                <w:color w:val="auto"/>
                <w:kern w:val="0"/>
                <w:sz w:val="21"/>
                <w:szCs w:val="21"/>
                <w:highlight w:val="none"/>
              </w:rPr>
              <w:t>距全风压巷道</w:t>
            </w:r>
            <w:r>
              <w:rPr>
                <w:rFonts w:hint="eastAsia" w:asciiTheme="majorEastAsia" w:hAnsiTheme="majorEastAsia" w:eastAsiaTheme="majorEastAsia" w:cstheme="majorEastAsia"/>
                <w:color w:val="auto"/>
                <w:kern w:val="0"/>
                <w:sz w:val="21"/>
                <w:szCs w:val="21"/>
                <w:highlight w:val="none"/>
                <w:lang w:val="en-US" w:eastAsia="zh-CN"/>
              </w:rPr>
              <w:t>口4～5m，采空区密闭需设有栅栏及警告标志牌。</w:t>
            </w:r>
          </w:p>
          <w:p>
            <w:pPr>
              <w:pStyle w:val="11"/>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3.明确具备正、反向控制功能的风门可不安装反向风门。</w:t>
            </w:r>
          </w:p>
          <w:p>
            <w:pPr>
              <w:pStyle w:val="11"/>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4.原风门间距不小于5m，改为不小于4m。</w:t>
            </w:r>
          </w:p>
          <w:p>
            <w:pPr>
              <w:pStyle w:val="11"/>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5.新增设置调节风窗位置距全风压巷道口均不超过6m</w:t>
            </w:r>
            <w:r>
              <w:rPr>
                <w:rFonts w:hint="eastAsia" w:asciiTheme="majorEastAsia" w:hAnsiTheme="majorEastAsia" w:eastAsiaTheme="majorEastAsia" w:cstheme="majorEastAsia"/>
                <w:color w:val="auto"/>
                <w:ker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2654" w:hRule="atLeast"/>
        </w:trPr>
        <w:tc>
          <w:tcPr>
            <w:tcW w:w="1019" w:type="dxa"/>
            <w:vMerge w:val="restart"/>
            <w:tcBorders>
              <w:tl2br w:val="nil"/>
              <w:tr2bl w:val="nil"/>
            </w:tcBorders>
            <w:textDirection w:val="tbLrV"/>
            <w:vAlign w:val="center"/>
          </w:tcPr>
          <w:p>
            <w:pPr>
              <w:widowControl/>
              <w:ind w:left="113" w:right="113"/>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kern w:val="0"/>
                <w:sz w:val="21"/>
                <w:szCs w:val="21"/>
                <w:highlight w:val="none"/>
              </w:rPr>
              <w:t>二、瓦斯（30分）</w:t>
            </w:r>
          </w:p>
        </w:tc>
        <w:tc>
          <w:tcPr>
            <w:tcW w:w="1065" w:type="dxa"/>
            <w:tcBorders>
              <w:tl2br w:val="nil"/>
              <w:tr2bl w:val="nil"/>
            </w:tcBorders>
            <w:vAlign w:val="center"/>
          </w:tcPr>
          <w:p>
            <w:pPr>
              <w:widowControl/>
              <w:jc w:val="center"/>
              <w:textAlignment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鉴定管理</w:t>
            </w:r>
          </w:p>
        </w:tc>
        <w:tc>
          <w:tcPr>
            <w:tcW w:w="4901" w:type="dxa"/>
            <w:tcBorders>
              <w:tl2br w:val="nil"/>
              <w:tr2bl w:val="nil"/>
            </w:tcBorders>
            <w:vAlign w:val="center"/>
          </w:tcPr>
          <w:p>
            <w:pPr>
              <w:widowControl/>
              <w:jc w:val="left"/>
              <w:textAlignment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B0F0"/>
                <w:kern w:val="0"/>
                <w:sz w:val="21"/>
                <w:szCs w:val="21"/>
                <w:highlight w:val="none"/>
              </w:rPr>
              <w:t>低瓦斯</w:t>
            </w:r>
            <w:r>
              <w:rPr>
                <w:rFonts w:hint="eastAsia" w:asciiTheme="majorEastAsia" w:hAnsiTheme="majorEastAsia" w:eastAsiaTheme="majorEastAsia" w:cstheme="majorEastAsia"/>
                <w:kern w:val="0"/>
                <w:sz w:val="21"/>
                <w:szCs w:val="21"/>
                <w:highlight w:val="none"/>
              </w:rPr>
              <w:t>矿井</w:t>
            </w:r>
            <w:r>
              <w:rPr>
                <w:rFonts w:hint="eastAsia" w:asciiTheme="majorEastAsia" w:hAnsiTheme="majorEastAsia" w:eastAsiaTheme="majorEastAsia" w:cstheme="majorEastAsia"/>
                <w:color w:val="00B0F0"/>
                <w:kern w:val="0"/>
                <w:sz w:val="21"/>
                <w:szCs w:val="21"/>
                <w:highlight w:val="none"/>
              </w:rPr>
              <w:t>每2年</w:t>
            </w:r>
            <w:r>
              <w:rPr>
                <w:rFonts w:hint="eastAsia" w:asciiTheme="majorEastAsia" w:hAnsiTheme="majorEastAsia" w:eastAsiaTheme="majorEastAsia" w:cstheme="majorEastAsia"/>
                <w:kern w:val="0"/>
                <w:sz w:val="21"/>
                <w:szCs w:val="21"/>
                <w:highlight w:val="none"/>
              </w:rPr>
              <w:t>进行</w:t>
            </w:r>
            <w:r>
              <w:rPr>
                <w:rFonts w:hint="eastAsia" w:asciiTheme="majorEastAsia" w:hAnsiTheme="majorEastAsia" w:eastAsiaTheme="majorEastAsia" w:cstheme="majorEastAsia"/>
                <w:kern w:val="0"/>
                <w:sz w:val="21"/>
                <w:szCs w:val="21"/>
                <w:highlight w:val="none"/>
                <w:lang w:val="en-US" w:eastAsia="zh-CN"/>
              </w:rPr>
              <w:t>1</w:t>
            </w:r>
            <w:r>
              <w:rPr>
                <w:rFonts w:hint="eastAsia" w:asciiTheme="majorEastAsia" w:hAnsiTheme="majorEastAsia" w:eastAsiaTheme="majorEastAsia" w:cstheme="majorEastAsia"/>
                <w:kern w:val="0"/>
                <w:sz w:val="21"/>
                <w:szCs w:val="21"/>
                <w:highlight w:val="none"/>
              </w:rPr>
              <w:t>次瓦斯等级和二氧化碳涌出量</w:t>
            </w:r>
            <w:r>
              <w:rPr>
                <w:rFonts w:hint="eastAsia" w:asciiTheme="majorEastAsia" w:hAnsiTheme="majorEastAsia" w:eastAsiaTheme="majorEastAsia" w:cstheme="majorEastAsia"/>
                <w:color w:val="00B0F0"/>
                <w:kern w:val="0"/>
                <w:sz w:val="21"/>
                <w:szCs w:val="21"/>
                <w:highlight w:val="none"/>
              </w:rPr>
              <w:t>鉴定</w:t>
            </w:r>
            <w:r>
              <w:rPr>
                <w:rFonts w:hint="eastAsia" w:asciiTheme="majorEastAsia" w:hAnsiTheme="majorEastAsia" w:eastAsiaTheme="majorEastAsia" w:cstheme="majorEastAsia"/>
                <w:kern w:val="0"/>
                <w:sz w:val="21"/>
                <w:szCs w:val="21"/>
                <w:highlight w:val="none"/>
              </w:rPr>
              <w:t>工作；</w:t>
            </w:r>
            <w:r>
              <w:rPr>
                <w:rFonts w:hint="eastAsia" w:asciiTheme="majorEastAsia" w:hAnsiTheme="majorEastAsia" w:eastAsiaTheme="majorEastAsia" w:cstheme="majorEastAsia"/>
                <w:color w:val="00B0F0"/>
                <w:kern w:val="0"/>
                <w:sz w:val="21"/>
                <w:szCs w:val="21"/>
                <w:highlight w:val="none"/>
              </w:rPr>
              <w:t>高瓦斯、突出</w:t>
            </w:r>
            <w:r>
              <w:rPr>
                <w:rFonts w:hint="eastAsia" w:asciiTheme="majorEastAsia" w:hAnsiTheme="majorEastAsia" w:eastAsiaTheme="majorEastAsia" w:cstheme="majorEastAsia"/>
                <w:kern w:val="0"/>
                <w:sz w:val="21"/>
                <w:szCs w:val="21"/>
                <w:highlight w:val="none"/>
              </w:rPr>
              <w:t>矿井</w:t>
            </w:r>
            <w:r>
              <w:rPr>
                <w:rFonts w:hint="eastAsia" w:asciiTheme="majorEastAsia" w:hAnsiTheme="majorEastAsia" w:eastAsiaTheme="majorEastAsia" w:cstheme="majorEastAsia"/>
                <w:color w:val="00B0F0"/>
                <w:kern w:val="0"/>
                <w:sz w:val="21"/>
                <w:szCs w:val="21"/>
                <w:highlight w:val="none"/>
              </w:rPr>
              <w:t>每年</w:t>
            </w:r>
            <w:r>
              <w:rPr>
                <w:rFonts w:hint="eastAsia" w:asciiTheme="majorEastAsia" w:hAnsiTheme="majorEastAsia" w:eastAsiaTheme="majorEastAsia" w:cstheme="majorEastAsia"/>
                <w:kern w:val="0"/>
                <w:sz w:val="21"/>
                <w:szCs w:val="21"/>
                <w:highlight w:val="none"/>
              </w:rPr>
              <w:t>按规定测定和计算</w:t>
            </w:r>
            <w:r>
              <w:rPr>
                <w:rFonts w:hint="eastAsia" w:asciiTheme="majorEastAsia" w:hAnsiTheme="majorEastAsia" w:eastAsiaTheme="majorEastAsia" w:cstheme="majorEastAsia"/>
                <w:kern w:val="0"/>
                <w:sz w:val="21"/>
                <w:szCs w:val="21"/>
                <w:highlight w:val="none"/>
                <w:lang w:val="en-US" w:eastAsia="zh-CN"/>
              </w:rPr>
              <w:t>1</w:t>
            </w:r>
            <w:r>
              <w:rPr>
                <w:rFonts w:hint="eastAsia" w:asciiTheme="majorEastAsia" w:hAnsiTheme="majorEastAsia" w:eastAsiaTheme="majorEastAsia" w:cstheme="majorEastAsia"/>
                <w:kern w:val="0"/>
                <w:sz w:val="21"/>
                <w:szCs w:val="21"/>
                <w:highlight w:val="none"/>
              </w:rPr>
              <w:t>次瓦斯和二氧化碳涌出量</w:t>
            </w:r>
          </w:p>
        </w:tc>
        <w:tc>
          <w:tcPr>
            <w:tcW w:w="3943" w:type="dxa"/>
            <w:tcBorders>
              <w:tl2br w:val="nil"/>
              <w:tr2bl w:val="nil"/>
            </w:tcBorders>
            <w:vAlign w:val="center"/>
          </w:tcPr>
          <w:p>
            <w:pPr>
              <w:pStyle w:val="11"/>
              <w:rPr>
                <w:rFonts w:hint="eastAsia" w:asciiTheme="majorEastAsia" w:hAnsiTheme="majorEastAsia" w:eastAsiaTheme="majorEastAsia" w:cstheme="majorEastAsia"/>
                <w:kern w:val="0"/>
                <w:sz w:val="21"/>
                <w:szCs w:val="21"/>
                <w:highlight w:val="none"/>
                <w:lang w:eastAsia="zh-CN"/>
              </w:rPr>
            </w:pPr>
            <w:r>
              <w:rPr>
                <w:rFonts w:hint="eastAsia" w:asciiTheme="majorEastAsia" w:hAnsiTheme="majorEastAsia" w:eastAsiaTheme="majorEastAsia" w:cstheme="majorEastAsia"/>
                <w:kern w:val="0"/>
                <w:sz w:val="21"/>
                <w:szCs w:val="21"/>
                <w:highlight w:val="none"/>
              </w:rPr>
              <w:t>1.按《煤矿安全规程》和《煤矿瓦斯等级鉴定办法》进行煤层瓦斯含量、瓦斯压力等参数测定和矿井瓦斯等级鉴（认）定及瓦斯涌出量测定</w:t>
            </w:r>
            <w:r>
              <w:rPr>
                <w:rFonts w:hint="eastAsia" w:asciiTheme="majorEastAsia" w:hAnsiTheme="majorEastAsia" w:eastAsiaTheme="majorEastAsia" w:cstheme="majorEastAsia"/>
                <w:kern w:val="0"/>
                <w:sz w:val="21"/>
                <w:szCs w:val="21"/>
                <w:highlight w:val="none"/>
                <w:lang w:eastAsia="zh-CN"/>
              </w:rPr>
              <w:t>。</w:t>
            </w:r>
          </w:p>
          <w:p>
            <w:pPr>
              <w:pStyle w:val="11"/>
              <w:rPr>
                <w:rFonts w:hint="eastAsia" w:asciiTheme="majorEastAsia" w:hAnsiTheme="majorEastAsia" w:eastAsiaTheme="majorEastAsia" w:cstheme="majorEastAsia"/>
                <w:kern w:val="0"/>
                <w:sz w:val="21"/>
                <w:szCs w:val="21"/>
                <w:highlight w:val="none"/>
                <w:lang w:eastAsia="zh-CN"/>
              </w:rPr>
            </w:pPr>
            <w:r>
              <w:rPr>
                <w:rFonts w:hint="eastAsia" w:asciiTheme="majorEastAsia" w:hAnsiTheme="majorEastAsia" w:eastAsiaTheme="majorEastAsia" w:cstheme="majorEastAsia"/>
                <w:kern w:val="0"/>
                <w:sz w:val="21"/>
                <w:szCs w:val="21"/>
                <w:highlight w:val="none"/>
              </w:rPr>
              <w:t>2.编制年度瓦斯治理技术方案及安全技术措施，并严格落实</w:t>
            </w:r>
            <w:r>
              <w:rPr>
                <w:rFonts w:hint="eastAsia" w:asciiTheme="majorEastAsia" w:hAnsiTheme="majorEastAsia" w:eastAsiaTheme="majorEastAsia" w:cstheme="majorEastAsia"/>
                <w:kern w:val="0"/>
                <w:sz w:val="21"/>
                <w:szCs w:val="21"/>
                <w:highlight w:val="none"/>
                <w:lang w:eastAsia="zh-CN"/>
              </w:rPr>
              <w:t>。</w:t>
            </w:r>
          </w:p>
        </w:tc>
        <w:tc>
          <w:tcPr>
            <w:tcW w:w="3010" w:type="dxa"/>
            <w:tcBorders>
              <w:tl2br w:val="nil"/>
              <w:tr2bl w:val="nil"/>
            </w:tcBorders>
            <w:vAlign w:val="center"/>
          </w:tcPr>
          <w:p>
            <w:pPr>
              <w:pStyle w:val="11"/>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明确瓦斯等级鉴定年限</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2066" w:hRule="atLeast"/>
        </w:trPr>
        <w:tc>
          <w:tcPr>
            <w:tcW w:w="1019"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1065" w:type="dxa"/>
            <w:vMerge w:val="restart"/>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瓦斯检查</w:t>
            </w:r>
          </w:p>
        </w:tc>
        <w:tc>
          <w:tcPr>
            <w:tcW w:w="4901" w:type="dxa"/>
            <w:tcBorders>
              <w:tl2br w:val="nil"/>
              <w:tr2bl w:val="nil"/>
            </w:tcBorders>
            <w:vAlign w:val="center"/>
          </w:tcPr>
          <w:p>
            <w:pPr>
              <w:widowControl/>
              <w:jc w:val="left"/>
              <w:textAlignment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B0F0"/>
                <w:kern w:val="0"/>
                <w:sz w:val="21"/>
                <w:szCs w:val="21"/>
                <w:highlight w:val="none"/>
              </w:rPr>
              <w:t>建立甲烷、二氧化碳和其他有害气体检查制度</w:t>
            </w:r>
            <w:r>
              <w:rPr>
                <w:rFonts w:hint="eastAsia" w:asciiTheme="majorEastAsia" w:hAnsiTheme="majorEastAsia" w:eastAsiaTheme="majorEastAsia" w:cstheme="majorEastAsia"/>
                <w:kern w:val="0"/>
                <w:sz w:val="21"/>
                <w:szCs w:val="21"/>
                <w:highlight w:val="none"/>
              </w:rPr>
              <w:t>，内容</w:t>
            </w:r>
            <w:r>
              <w:rPr>
                <w:rFonts w:hint="eastAsia" w:asciiTheme="majorEastAsia" w:hAnsiTheme="majorEastAsia" w:eastAsiaTheme="majorEastAsia" w:cstheme="majorEastAsia"/>
                <w:color w:val="00B0F0"/>
                <w:kern w:val="0"/>
                <w:sz w:val="21"/>
                <w:szCs w:val="21"/>
                <w:highlight w:val="none"/>
              </w:rPr>
              <w:t>符合规定</w:t>
            </w:r>
            <w:r>
              <w:rPr>
                <w:rFonts w:hint="eastAsia" w:asciiTheme="majorEastAsia" w:hAnsiTheme="majorEastAsia" w:eastAsiaTheme="majorEastAsia" w:cstheme="majorEastAsia"/>
                <w:kern w:val="0"/>
                <w:sz w:val="21"/>
                <w:szCs w:val="21"/>
                <w:highlight w:val="none"/>
              </w:rPr>
              <w:t>要求，</w:t>
            </w:r>
            <w:r>
              <w:rPr>
                <w:rFonts w:hint="eastAsia" w:asciiTheme="majorEastAsia" w:hAnsiTheme="majorEastAsia" w:eastAsiaTheme="majorEastAsia" w:cstheme="majorEastAsia"/>
                <w:color w:val="00B0F0"/>
                <w:kern w:val="0"/>
                <w:sz w:val="21"/>
                <w:szCs w:val="21"/>
                <w:highlight w:val="none"/>
              </w:rPr>
              <w:t>并认真执行</w:t>
            </w:r>
          </w:p>
        </w:tc>
        <w:tc>
          <w:tcPr>
            <w:tcW w:w="3943" w:type="dxa"/>
            <w:tcBorders>
              <w:tl2br w:val="nil"/>
              <w:tr2bl w:val="nil"/>
            </w:tcBorders>
            <w:vAlign w:val="center"/>
          </w:tcPr>
          <w:p>
            <w:pPr>
              <w:pStyle w:val="11"/>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color w:val="FF0000"/>
                <w:kern w:val="0"/>
                <w:sz w:val="21"/>
                <w:szCs w:val="21"/>
                <w:highlight w:val="none"/>
              </w:rPr>
              <w:t>制定瓦斯防治中长期规划和年度计划。矿每月至少召开1次通风工作例会，总结安排年、季、月通风工作，并有记录</w:t>
            </w:r>
          </w:p>
        </w:tc>
        <w:tc>
          <w:tcPr>
            <w:tcW w:w="3010" w:type="dxa"/>
            <w:tcBorders>
              <w:tl2br w:val="nil"/>
              <w:tr2bl w:val="nil"/>
            </w:tcBorders>
            <w:vAlign w:val="center"/>
          </w:tcPr>
          <w:p>
            <w:pPr>
              <w:pStyle w:val="11"/>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1.专业管理制度已分开描述。</w:t>
            </w:r>
          </w:p>
          <w:p>
            <w:pPr>
              <w:pStyle w:val="11"/>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2.如无瓦斯重大灾害治理项目，不再需进行制定相关规划、计划和召开相关会议。</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2654" w:hRule="atLeast"/>
        </w:trPr>
        <w:tc>
          <w:tcPr>
            <w:tcW w:w="1019"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1065"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4901" w:type="dxa"/>
            <w:tcBorders>
              <w:tl2br w:val="nil"/>
              <w:tr2bl w:val="nil"/>
            </w:tcBorders>
            <w:vAlign w:val="center"/>
          </w:tcPr>
          <w:p>
            <w:pPr>
              <w:widowControl/>
              <w:jc w:val="left"/>
              <w:textAlignment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kern w:val="0"/>
                <w:sz w:val="21"/>
                <w:szCs w:val="21"/>
                <w:highlight w:val="none"/>
              </w:rPr>
              <w:t>矿长、总工程师、爆破工、采掘</w:t>
            </w:r>
            <w:r>
              <w:rPr>
                <w:rFonts w:hint="eastAsia" w:asciiTheme="majorEastAsia" w:hAnsiTheme="majorEastAsia" w:eastAsiaTheme="majorEastAsia" w:cstheme="majorEastAsia"/>
                <w:color w:val="00B0F0"/>
                <w:kern w:val="0"/>
                <w:sz w:val="21"/>
                <w:szCs w:val="21"/>
                <w:highlight w:val="none"/>
              </w:rPr>
              <w:t>区队长</w:t>
            </w:r>
            <w:r>
              <w:rPr>
                <w:rFonts w:hint="eastAsia" w:asciiTheme="majorEastAsia" w:hAnsiTheme="majorEastAsia" w:eastAsiaTheme="majorEastAsia" w:cstheme="majorEastAsia"/>
                <w:kern w:val="0"/>
                <w:sz w:val="21"/>
                <w:szCs w:val="21"/>
                <w:highlight w:val="none"/>
              </w:rPr>
              <w:t>、通风</w:t>
            </w:r>
            <w:r>
              <w:rPr>
                <w:rFonts w:hint="eastAsia" w:asciiTheme="majorEastAsia" w:hAnsiTheme="majorEastAsia" w:eastAsiaTheme="majorEastAsia" w:cstheme="majorEastAsia"/>
                <w:color w:val="00B0F0"/>
                <w:kern w:val="0"/>
                <w:sz w:val="21"/>
                <w:szCs w:val="21"/>
                <w:highlight w:val="none"/>
              </w:rPr>
              <w:t>区队长、</w:t>
            </w:r>
            <w:r>
              <w:rPr>
                <w:rFonts w:hint="eastAsia" w:asciiTheme="majorEastAsia" w:hAnsiTheme="majorEastAsia" w:eastAsiaTheme="majorEastAsia" w:cstheme="majorEastAsia"/>
                <w:kern w:val="0"/>
                <w:sz w:val="21"/>
                <w:szCs w:val="21"/>
                <w:highlight w:val="none"/>
              </w:rPr>
              <w:t>工程技术人员、班长、流动</w:t>
            </w:r>
            <w:r>
              <w:rPr>
                <w:rFonts w:hint="eastAsia" w:asciiTheme="majorEastAsia" w:hAnsiTheme="majorEastAsia" w:eastAsiaTheme="majorEastAsia" w:cstheme="majorEastAsia"/>
                <w:color w:val="00B0F0"/>
                <w:kern w:val="0"/>
                <w:sz w:val="21"/>
                <w:szCs w:val="21"/>
                <w:highlight w:val="none"/>
              </w:rPr>
              <w:t>电（钳）工</w:t>
            </w:r>
            <w:r>
              <w:rPr>
                <w:rFonts w:hint="eastAsia" w:asciiTheme="majorEastAsia" w:hAnsiTheme="majorEastAsia" w:eastAsiaTheme="majorEastAsia" w:cstheme="majorEastAsia"/>
                <w:kern w:val="0"/>
                <w:sz w:val="21"/>
                <w:szCs w:val="21"/>
                <w:highlight w:val="none"/>
              </w:rPr>
              <w:t>、安全监测工等下井时，携带便携式甲烷检测报警仪；瓦斯检查工下井时必须携带便携式光干涉</w:t>
            </w:r>
            <w:r>
              <w:rPr>
                <w:rFonts w:hint="eastAsia" w:asciiTheme="majorEastAsia" w:hAnsiTheme="majorEastAsia" w:eastAsiaTheme="majorEastAsia" w:cstheme="majorEastAsia"/>
                <w:color w:val="00B0F0"/>
                <w:kern w:val="0"/>
                <w:sz w:val="21"/>
                <w:szCs w:val="21"/>
                <w:highlight w:val="none"/>
              </w:rPr>
              <w:t>或激光甲烷、二氧化碳检测仪，</w:t>
            </w:r>
            <w:r>
              <w:rPr>
                <w:rFonts w:hint="eastAsia" w:asciiTheme="majorEastAsia" w:hAnsiTheme="majorEastAsia" w:eastAsiaTheme="majorEastAsia" w:cstheme="majorEastAsia"/>
                <w:kern w:val="0"/>
                <w:sz w:val="21"/>
                <w:szCs w:val="21"/>
                <w:highlight w:val="none"/>
              </w:rPr>
              <w:t>采用</w:t>
            </w:r>
            <w:r>
              <w:rPr>
                <w:rFonts w:hint="eastAsia" w:asciiTheme="majorEastAsia" w:hAnsiTheme="majorEastAsia" w:eastAsiaTheme="majorEastAsia" w:cstheme="majorEastAsia"/>
                <w:color w:val="00B0F0"/>
                <w:kern w:val="0"/>
                <w:sz w:val="21"/>
                <w:szCs w:val="21"/>
                <w:highlight w:val="none"/>
              </w:rPr>
              <w:t>光干涉检测仪时必须携带甲烷检测报警仪</w:t>
            </w:r>
          </w:p>
        </w:tc>
        <w:tc>
          <w:tcPr>
            <w:tcW w:w="3943" w:type="dxa"/>
            <w:tcBorders>
              <w:tl2br w:val="nil"/>
              <w:tr2bl w:val="nil"/>
            </w:tcBorders>
            <w:vAlign w:val="center"/>
          </w:tcPr>
          <w:p>
            <w:pPr>
              <w:pStyle w:val="11"/>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1.矿长、总工程师、爆破工、采掘区（队）长、通风区（队）长、工程技术人员、班长、流动电钳工、安全监测工、</w:t>
            </w:r>
            <w:r>
              <w:rPr>
                <w:rFonts w:hint="eastAsia" w:asciiTheme="majorEastAsia" w:hAnsiTheme="majorEastAsia" w:eastAsiaTheme="majorEastAsia" w:cstheme="majorEastAsia"/>
                <w:color w:val="FF0000"/>
                <w:kern w:val="0"/>
                <w:sz w:val="21"/>
                <w:szCs w:val="21"/>
                <w:highlight w:val="none"/>
              </w:rPr>
              <w:t>瓦斯检查工</w:t>
            </w:r>
            <w:r>
              <w:rPr>
                <w:rFonts w:hint="eastAsia" w:asciiTheme="majorEastAsia" w:hAnsiTheme="majorEastAsia" w:eastAsiaTheme="majorEastAsia" w:cstheme="majorEastAsia"/>
                <w:kern w:val="0"/>
                <w:sz w:val="21"/>
                <w:szCs w:val="21"/>
                <w:highlight w:val="none"/>
              </w:rPr>
              <w:t>等下井时，携带便携式甲烷检测报警仪并开机使用；瓦斯检查工下井时还应携带光学瓦斯检测仪</w:t>
            </w:r>
          </w:p>
        </w:tc>
        <w:tc>
          <w:tcPr>
            <w:tcW w:w="3010" w:type="dxa"/>
            <w:tcBorders>
              <w:tl2br w:val="nil"/>
              <w:tr2bl w:val="nil"/>
            </w:tcBorders>
            <w:vAlign w:val="center"/>
          </w:tcPr>
          <w:p>
            <w:pPr>
              <w:pStyle w:val="11"/>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1.电钳工分为电工和钳工。</w:t>
            </w:r>
          </w:p>
          <w:p>
            <w:pPr>
              <w:pStyle w:val="11"/>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2.瓦斯检查工检查携带仪器专门描述、明确。</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2360" w:hRule="atLeast"/>
        </w:trPr>
        <w:tc>
          <w:tcPr>
            <w:tcW w:w="1019"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1065"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4901" w:type="dxa"/>
            <w:tcBorders>
              <w:tl2br w:val="nil"/>
              <w:tr2bl w:val="nil"/>
            </w:tcBorders>
            <w:vAlign w:val="center"/>
          </w:tcPr>
          <w:p>
            <w:pPr>
              <w:widowControl/>
              <w:jc w:val="left"/>
              <w:textAlignment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kern w:val="0"/>
                <w:sz w:val="21"/>
                <w:szCs w:val="21"/>
                <w:highlight w:val="none"/>
              </w:rPr>
              <w:t>瓦斯检查工填写的瓦斯检查班报（台账）、手册及井下牌板数据相一致；通风瓦斯日报需煤矿矿长、总工程师审阅</w:t>
            </w:r>
          </w:p>
        </w:tc>
        <w:tc>
          <w:tcPr>
            <w:tcW w:w="3943" w:type="dxa"/>
            <w:tcBorders>
              <w:tl2br w:val="nil"/>
              <w:tr2bl w:val="nil"/>
            </w:tcBorders>
            <w:vAlign w:val="center"/>
          </w:tcPr>
          <w:p>
            <w:pPr>
              <w:pStyle w:val="11"/>
              <w:rPr>
                <w:rFonts w:hint="eastAsia" w:asciiTheme="majorEastAsia" w:hAnsiTheme="majorEastAsia" w:eastAsiaTheme="majorEastAsia" w:cstheme="majorEastAsia"/>
                <w:color w:val="FF0000"/>
                <w:kern w:val="0"/>
                <w:sz w:val="21"/>
                <w:szCs w:val="21"/>
                <w:highlight w:val="none"/>
                <w:lang w:eastAsia="zh-CN"/>
              </w:rPr>
            </w:pPr>
            <w:r>
              <w:rPr>
                <w:rFonts w:hint="eastAsia" w:asciiTheme="majorEastAsia" w:hAnsiTheme="majorEastAsia" w:eastAsiaTheme="majorEastAsia" w:cstheme="majorEastAsia"/>
                <w:color w:val="auto"/>
                <w:kern w:val="0"/>
                <w:sz w:val="21"/>
                <w:szCs w:val="21"/>
                <w:highlight w:val="none"/>
              </w:rPr>
              <w:t>2.瓦斯检查地点、周期符合《煤矿安全规程》规定；</w:t>
            </w:r>
            <w:r>
              <w:rPr>
                <w:rFonts w:hint="eastAsia" w:asciiTheme="majorEastAsia" w:hAnsiTheme="majorEastAsia" w:eastAsiaTheme="majorEastAsia" w:cstheme="majorEastAsia"/>
                <w:color w:val="FF0000"/>
                <w:kern w:val="0"/>
                <w:sz w:val="21"/>
                <w:szCs w:val="21"/>
                <w:highlight w:val="none"/>
              </w:rPr>
              <w:t>瓦斯检查工在井下指定地点交接班，有记录</w:t>
            </w:r>
            <w:r>
              <w:rPr>
                <w:rFonts w:hint="eastAsia" w:asciiTheme="majorEastAsia" w:hAnsiTheme="majorEastAsia" w:eastAsiaTheme="majorEastAsia" w:cstheme="majorEastAsia"/>
                <w:color w:val="FF0000"/>
                <w:kern w:val="0"/>
                <w:sz w:val="21"/>
                <w:szCs w:val="21"/>
                <w:highlight w:val="none"/>
                <w:lang w:eastAsia="zh-CN"/>
              </w:rPr>
              <w:t>。</w:t>
            </w:r>
          </w:p>
          <w:p>
            <w:pPr>
              <w:pStyle w:val="11"/>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lang w:val="en-US" w:eastAsia="zh-CN"/>
              </w:rPr>
              <w:t>3.瓦斯检查做到井下记录牌、瓦斯检查手册、瓦斯检查班报(台账)相一致；通风瓦斯日报及时上报矿长、总工程师签字，并有记录</w:t>
            </w:r>
          </w:p>
        </w:tc>
        <w:tc>
          <w:tcPr>
            <w:tcW w:w="3010" w:type="dxa"/>
            <w:tcBorders>
              <w:tl2br w:val="nil"/>
              <w:tr2bl w:val="nil"/>
            </w:tcBorders>
            <w:vAlign w:val="center"/>
          </w:tcPr>
          <w:p>
            <w:pPr>
              <w:widowControl/>
              <w:textAlignment w:val="center"/>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删除交接班的内容</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2360" w:hRule="atLeast"/>
        </w:trPr>
        <w:tc>
          <w:tcPr>
            <w:tcW w:w="1019"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1065" w:type="dxa"/>
            <w:vMerge w:val="restart"/>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现场管理</w:t>
            </w:r>
          </w:p>
        </w:tc>
        <w:tc>
          <w:tcPr>
            <w:tcW w:w="4901" w:type="dxa"/>
            <w:tcBorders>
              <w:tl2br w:val="nil"/>
              <w:tr2bl w:val="nil"/>
            </w:tcBorders>
            <w:vAlign w:val="center"/>
          </w:tcPr>
          <w:p>
            <w:pPr>
              <w:widowControl/>
              <w:jc w:val="left"/>
              <w:textAlignment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B0F0"/>
                <w:kern w:val="0"/>
                <w:sz w:val="21"/>
                <w:szCs w:val="21"/>
                <w:highlight w:val="none"/>
              </w:rPr>
              <w:t>总回风巷、一翼回风巷、采区回风巷、</w:t>
            </w:r>
            <w:r>
              <w:rPr>
                <w:rFonts w:hint="eastAsia" w:asciiTheme="majorEastAsia" w:hAnsiTheme="majorEastAsia" w:eastAsiaTheme="majorEastAsia" w:cstheme="majorEastAsia"/>
                <w:kern w:val="0"/>
                <w:sz w:val="21"/>
                <w:szCs w:val="21"/>
                <w:highlight w:val="none"/>
              </w:rPr>
              <w:t>采掘工作面风流中甲烷或二氧化碳浓度符合规定；超过规定值时，按规定进行撤人处理等</w:t>
            </w:r>
          </w:p>
        </w:tc>
        <w:tc>
          <w:tcPr>
            <w:tcW w:w="3943" w:type="dxa"/>
            <w:tcBorders>
              <w:tl2br w:val="nil"/>
              <w:tr2bl w:val="nil"/>
            </w:tcBorders>
            <w:vAlign w:val="center"/>
          </w:tcPr>
          <w:p>
            <w:pPr>
              <w:pStyle w:val="11"/>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1.采掘工作面及其他地点的瓦斯浓度符合《煤矿安全规程》规定；瓦斯超限立即停止工作，撤出人员，按规定切断电源；查明瓦斯超限原因，落实防治措施</w:t>
            </w:r>
          </w:p>
          <w:p>
            <w:pPr>
              <w:pStyle w:val="11"/>
              <w:rPr>
                <w:rFonts w:hint="eastAsia" w:asciiTheme="majorEastAsia" w:hAnsiTheme="majorEastAsia" w:eastAsiaTheme="majorEastAsia" w:cstheme="majorEastAsia"/>
                <w:kern w:val="0"/>
                <w:sz w:val="21"/>
                <w:szCs w:val="21"/>
                <w:highlight w:val="none"/>
                <w:lang w:val="en-US" w:eastAsia="zh-CN"/>
              </w:rPr>
            </w:pPr>
          </w:p>
        </w:tc>
        <w:tc>
          <w:tcPr>
            <w:tcW w:w="3010" w:type="dxa"/>
            <w:tcBorders>
              <w:tl2br w:val="nil"/>
              <w:tr2bl w:val="nil"/>
            </w:tcBorders>
            <w:vAlign w:val="center"/>
          </w:tcPr>
          <w:p>
            <w:pPr>
              <w:widowControl/>
              <w:textAlignment w:val="center"/>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新增</w:t>
            </w:r>
            <w:r>
              <w:rPr>
                <w:rFonts w:hint="eastAsia" w:asciiTheme="majorEastAsia" w:hAnsiTheme="majorEastAsia" w:eastAsiaTheme="majorEastAsia" w:cstheme="majorEastAsia"/>
                <w:color w:val="auto"/>
                <w:kern w:val="0"/>
                <w:sz w:val="21"/>
                <w:szCs w:val="21"/>
                <w:highlight w:val="none"/>
              </w:rPr>
              <w:t>总回风巷、一翼回风巷、采区回风巷</w:t>
            </w:r>
            <w:r>
              <w:rPr>
                <w:rFonts w:hint="eastAsia" w:asciiTheme="majorEastAsia" w:hAnsiTheme="majorEastAsia" w:eastAsiaTheme="majorEastAsia" w:cstheme="majorEastAsia"/>
                <w:color w:val="auto"/>
                <w:kern w:val="0"/>
                <w:sz w:val="21"/>
                <w:szCs w:val="21"/>
                <w:highlight w:val="none"/>
                <w:lang w:val="en-US" w:eastAsia="zh-CN"/>
              </w:rPr>
              <w:t>地点瓦斯检查要求。</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535" w:hRule="atLeast"/>
        </w:trPr>
        <w:tc>
          <w:tcPr>
            <w:tcW w:w="1019"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1065"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4901" w:type="dxa"/>
            <w:tcBorders>
              <w:tl2br w:val="nil"/>
              <w:tr2bl w:val="nil"/>
            </w:tcBorders>
            <w:vAlign w:val="center"/>
          </w:tcPr>
          <w:p>
            <w:pPr>
              <w:widowControl/>
              <w:jc w:val="left"/>
              <w:textAlignment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kern w:val="0"/>
                <w:sz w:val="21"/>
                <w:szCs w:val="21"/>
                <w:highlight w:val="none"/>
              </w:rPr>
              <w:t>临时停风地点必须切断电源，设置栅栏、警标</w:t>
            </w:r>
            <w:r>
              <w:rPr>
                <w:rFonts w:hint="eastAsia" w:asciiTheme="majorEastAsia" w:hAnsiTheme="majorEastAsia" w:eastAsiaTheme="majorEastAsia" w:cstheme="majorEastAsia"/>
                <w:color w:val="00B0F0"/>
                <w:kern w:val="0"/>
                <w:sz w:val="21"/>
                <w:szCs w:val="21"/>
                <w:highlight w:val="none"/>
              </w:rPr>
              <w:t>，禁止人员进入，并向矿调度室报告；</w:t>
            </w:r>
            <w:r>
              <w:rPr>
                <w:rFonts w:hint="eastAsia" w:asciiTheme="majorEastAsia" w:hAnsiTheme="majorEastAsia" w:eastAsiaTheme="majorEastAsia" w:cstheme="majorEastAsia"/>
                <w:kern w:val="0"/>
                <w:sz w:val="21"/>
                <w:szCs w:val="21"/>
                <w:highlight w:val="none"/>
              </w:rPr>
              <w:t>停工区内甲烷或者二氧化碳浓度达到3.0%或其他有害气体浓度超过规程规定不能立即处理时，应在24h内封闭完毕</w:t>
            </w:r>
            <w:r>
              <w:rPr>
                <w:rFonts w:hint="eastAsia" w:asciiTheme="majorEastAsia" w:hAnsiTheme="majorEastAsia" w:eastAsiaTheme="majorEastAsia" w:cstheme="majorEastAsia"/>
                <w:b w:val="0"/>
                <w:bCs w:val="0"/>
                <w:color w:val="auto"/>
                <w:kern w:val="0"/>
                <w:sz w:val="21"/>
                <w:szCs w:val="21"/>
                <w:highlight w:val="none"/>
              </w:rPr>
              <w:t>，启封密闭巷道，按规定编制瓦斯排放专项措施，经煤矿总工程师批准</w:t>
            </w:r>
          </w:p>
        </w:tc>
        <w:tc>
          <w:tcPr>
            <w:tcW w:w="3943" w:type="dxa"/>
            <w:tcBorders>
              <w:tl2br w:val="nil"/>
              <w:tr2bl w:val="nil"/>
            </w:tcBorders>
            <w:vAlign w:val="center"/>
          </w:tcPr>
          <w:p>
            <w:pPr>
              <w:pStyle w:val="11"/>
              <w:rPr>
                <w:rFonts w:hint="eastAsia" w:asciiTheme="majorEastAsia" w:hAnsiTheme="majorEastAsia" w:eastAsiaTheme="majorEastAsia" w:cstheme="majorEastAsia"/>
                <w:color w:val="FF0000"/>
                <w:kern w:val="0"/>
                <w:sz w:val="21"/>
                <w:szCs w:val="21"/>
                <w:highlight w:val="none"/>
              </w:rPr>
            </w:pPr>
            <w:r>
              <w:rPr>
                <w:rFonts w:hint="eastAsia" w:asciiTheme="majorEastAsia" w:hAnsiTheme="majorEastAsia" w:eastAsiaTheme="majorEastAsia" w:cstheme="majorEastAsia"/>
                <w:kern w:val="0"/>
                <w:sz w:val="21"/>
                <w:szCs w:val="21"/>
                <w:highlight w:val="none"/>
                <w:lang w:val="en-US" w:eastAsia="zh-CN"/>
              </w:rPr>
              <w:t>2.</w:t>
            </w:r>
            <w:r>
              <w:rPr>
                <w:rFonts w:hint="eastAsia" w:asciiTheme="majorEastAsia" w:hAnsiTheme="majorEastAsia" w:eastAsiaTheme="majorEastAsia" w:cstheme="majorEastAsia"/>
                <w:kern w:val="0"/>
                <w:sz w:val="21"/>
                <w:szCs w:val="21"/>
                <w:highlight w:val="none"/>
              </w:rPr>
              <w:t>临时停风地点</w:t>
            </w:r>
            <w:r>
              <w:rPr>
                <w:rFonts w:hint="eastAsia" w:asciiTheme="majorEastAsia" w:hAnsiTheme="majorEastAsia" w:eastAsiaTheme="majorEastAsia" w:cstheme="majorEastAsia"/>
                <w:color w:val="FF0000"/>
                <w:kern w:val="0"/>
                <w:sz w:val="21"/>
                <w:szCs w:val="21"/>
                <w:highlight w:val="none"/>
              </w:rPr>
              <w:t>停止作业、</w:t>
            </w:r>
            <w:r>
              <w:rPr>
                <w:rFonts w:hint="eastAsia" w:asciiTheme="majorEastAsia" w:hAnsiTheme="majorEastAsia" w:eastAsiaTheme="majorEastAsia" w:cstheme="majorEastAsia"/>
                <w:kern w:val="0"/>
                <w:sz w:val="21"/>
                <w:szCs w:val="21"/>
                <w:highlight w:val="none"/>
              </w:rPr>
              <w:t>切断电源、</w:t>
            </w:r>
            <w:r>
              <w:rPr>
                <w:rFonts w:hint="eastAsia" w:asciiTheme="majorEastAsia" w:hAnsiTheme="majorEastAsia" w:eastAsiaTheme="majorEastAsia" w:cstheme="majorEastAsia"/>
                <w:color w:val="FF0000"/>
                <w:kern w:val="0"/>
                <w:sz w:val="21"/>
                <w:szCs w:val="21"/>
                <w:highlight w:val="none"/>
              </w:rPr>
              <w:t>撤出人员、</w:t>
            </w:r>
            <w:r>
              <w:rPr>
                <w:rFonts w:hint="eastAsia" w:asciiTheme="majorEastAsia" w:hAnsiTheme="majorEastAsia" w:eastAsiaTheme="majorEastAsia" w:cstheme="majorEastAsia"/>
                <w:kern w:val="0"/>
                <w:sz w:val="21"/>
                <w:szCs w:val="21"/>
                <w:highlight w:val="none"/>
              </w:rPr>
              <w:t>设置栅栏和警标；</w:t>
            </w:r>
            <w:r>
              <w:rPr>
                <w:rFonts w:hint="eastAsia" w:asciiTheme="majorEastAsia" w:hAnsiTheme="majorEastAsia" w:eastAsiaTheme="majorEastAsia" w:cstheme="majorEastAsia"/>
                <w:color w:val="FF0000"/>
                <w:kern w:val="0"/>
                <w:sz w:val="21"/>
                <w:szCs w:val="21"/>
                <w:highlight w:val="none"/>
              </w:rPr>
              <w:t>长期停风区在24h内封闭完毕。</w:t>
            </w:r>
            <w:r>
              <w:rPr>
                <w:rFonts w:hint="eastAsia" w:asciiTheme="majorEastAsia" w:hAnsiTheme="majorEastAsia" w:eastAsiaTheme="majorEastAsia" w:cstheme="majorEastAsia"/>
                <w:kern w:val="0"/>
                <w:sz w:val="21"/>
                <w:szCs w:val="21"/>
                <w:highlight w:val="none"/>
              </w:rPr>
              <w:t>停风区内甲烷或者二氧化碳浓度达到3.0%或者其他有害气体浓度超过《煤矿安全规程》规定不能立即处理时，在24h内予以封闭</w:t>
            </w:r>
            <w:r>
              <w:rPr>
                <w:rFonts w:hint="eastAsia" w:asciiTheme="majorEastAsia" w:hAnsiTheme="majorEastAsia" w:eastAsiaTheme="majorEastAsia" w:cstheme="majorEastAsia"/>
                <w:color w:val="FF0000"/>
                <w:kern w:val="0"/>
                <w:sz w:val="21"/>
                <w:szCs w:val="21"/>
                <w:highlight w:val="none"/>
              </w:rPr>
              <w:t>，并切断通往封闭区的管路、轨道和电缆等导电物体</w:t>
            </w:r>
          </w:p>
          <w:p>
            <w:pPr>
              <w:pStyle w:val="11"/>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kern w:val="0"/>
                <w:sz w:val="21"/>
                <w:szCs w:val="21"/>
                <w:highlight w:val="none"/>
              </w:rPr>
              <w:t>3.瓦斯排放按规定编制专项措施，经矿总工程师批准</w:t>
            </w:r>
            <w:r>
              <w:rPr>
                <w:rFonts w:hint="eastAsia" w:asciiTheme="majorEastAsia" w:hAnsiTheme="majorEastAsia" w:eastAsiaTheme="majorEastAsia" w:cstheme="majorEastAsia"/>
                <w:color w:val="FF0000"/>
                <w:kern w:val="0"/>
                <w:sz w:val="21"/>
                <w:szCs w:val="21"/>
                <w:highlight w:val="none"/>
              </w:rPr>
              <w:t>，并严格执行，且有记录；采煤工作面不使用局部通风机稀释瓦斯</w:t>
            </w:r>
          </w:p>
        </w:tc>
        <w:tc>
          <w:tcPr>
            <w:tcW w:w="3010" w:type="dxa"/>
            <w:tcBorders>
              <w:tl2br w:val="nil"/>
              <w:tr2bl w:val="nil"/>
            </w:tcBorders>
            <w:vAlign w:val="center"/>
          </w:tcPr>
          <w:p>
            <w:pPr>
              <w:widowControl/>
              <w:textAlignment w:val="center"/>
              <w:rPr>
                <w:rFonts w:hint="eastAsia" w:asciiTheme="majorEastAsia" w:hAnsiTheme="majorEastAsia" w:eastAsiaTheme="majorEastAsia" w:cstheme="majorEastAsia"/>
                <w:color w:val="auto"/>
                <w:kern w:val="0"/>
                <w:sz w:val="21"/>
                <w:szCs w:val="21"/>
                <w:highlight w:val="none"/>
                <w:lang w:eastAsia="zh-CN"/>
              </w:rPr>
            </w:pPr>
            <w:r>
              <w:rPr>
                <w:rFonts w:hint="eastAsia" w:asciiTheme="majorEastAsia" w:hAnsiTheme="majorEastAsia" w:eastAsiaTheme="majorEastAsia" w:cstheme="majorEastAsia"/>
                <w:color w:val="auto"/>
                <w:kern w:val="0"/>
                <w:sz w:val="21"/>
                <w:szCs w:val="21"/>
                <w:highlight w:val="none"/>
                <w:lang w:val="en-US" w:eastAsia="zh-CN"/>
              </w:rPr>
              <w:t>1.概括</w:t>
            </w:r>
            <w:r>
              <w:rPr>
                <w:rFonts w:hint="eastAsia" w:asciiTheme="majorEastAsia" w:hAnsiTheme="majorEastAsia" w:eastAsiaTheme="majorEastAsia" w:cstheme="majorEastAsia"/>
                <w:color w:val="auto"/>
                <w:kern w:val="0"/>
                <w:sz w:val="21"/>
                <w:szCs w:val="21"/>
                <w:highlight w:val="none"/>
              </w:rPr>
              <w:t>临时停风地点</w:t>
            </w:r>
            <w:r>
              <w:rPr>
                <w:rFonts w:hint="eastAsia" w:asciiTheme="majorEastAsia" w:hAnsiTheme="majorEastAsia" w:eastAsiaTheme="majorEastAsia" w:cstheme="majorEastAsia"/>
                <w:color w:val="auto"/>
                <w:kern w:val="0"/>
                <w:sz w:val="21"/>
                <w:szCs w:val="21"/>
                <w:highlight w:val="none"/>
                <w:lang w:val="en-US" w:eastAsia="zh-CN"/>
              </w:rPr>
              <w:t>应急要求，并明确要求</w:t>
            </w:r>
            <w:r>
              <w:rPr>
                <w:rFonts w:hint="eastAsia" w:asciiTheme="majorEastAsia" w:hAnsiTheme="majorEastAsia" w:eastAsiaTheme="majorEastAsia" w:cstheme="majorEastAsia"/>
                <w:color w:val="auto"/>
                <w:kern w:val="0"/>
                <w:sz w:val="21"/>
                <w:szCs w:val="21"/>
                <w:highlight w:val="none"/>
              </w:rPr>
              <w:t>向矿调度室报告</w:t>
            </w:r>
            <w:r>
              <w:rPr>
                <w:rFonts w:hint="eastAsia" w:asciiTheme="majorEastAsia" w:hAnsiTheme="majorEastAsia" w:eastAsiaTheme="majorEastAsia" w:cstheme="majorEastAsia"/>
                <w:color w:val="auto"/>
                <w:kern w:val="0"/>
                <w:sz w:val="21"/>
                <w:szCs w:val="21"/>
                <w:highlight w:val="none"/>
                <w:lang w:eastAsia="zh-CN"/>
              </w:rPr>
              <w:t>。</w:t>
            </w:r>
          </w:p>
          <w:p>
            <w:pPr>
              <w:widowControl/>
              <w:textAlignment w:val="center"/>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2.不再细化封闭及排放瓦斯相关要求。</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535" w:hRule="atLeast"/>
        </w:trPr>
        <w:tc>
          <w:tcPr>
            <w:tcW w:w="1019" w:type="dxa"/>
            <w:vMerge w:val="restart"/>
            <w:tcBorders>
              <w:tl2br w:val="nil"/>
              <w:tr2bl w:val="nil"/>
            </w:tcBorders>
            <w:textDirection w:val="tbLrV"/>
            <w:vAlign w:val="center"/>
          </w:tcPr>
          <w:p>
            <w:pPr>
              <w:widowControl/>
              <w:ind w:left="113" w:right="113"/>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三、爆破（10分）</w:t>
            </w:r>
          </w:p>
        </w:tc>
        <w:tc>
          <w:tcPr>
            <w:tcW w:w="1065" w:type="dxa"/>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kern w:val="0"/>
                <w:sz w:val="21"/>
                <w:szCs w:val="21"/>
                <w:highlight w:val="none"/>
              </w:rPr>
              <w:t>爆炸物品管理</w:t>
            </w:r>
          </w:p>
        </w:tc>
        <w:tc>
          <w:tcPr>
            <w:tcW w:w="4901" w:type="dxa"/>
            <w:tcBorders>
              <w:tl2br w:val="nil"/>
              <w:tr2bl w:val="nil"/>
            </w:tcBorders>
            <w:vAlign w:val="center"/>
          </w:tcPr>
          <w:p>
            <w:pPr>
              <w:widowControl/>
              <w:jc w:val="left"/>
              <w:textAlignment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kern w:val="0"/>
                <w:sz w:val="21"/>
                <w:szCs w:val="21"/>
                <w:highlight w:val="none"/>
              </w:rPr>
              <w:t>井下爆炸物品库、爆炸物品运输、贮存符合《煤矿安全规程》规定</w:t>
            </w:r>
          </w:p>
        </w:tc>
        <w:tc>
          <w:tcPr>
            <w:tcW w:w="3943" w:type="dxa"/>
            <w:tcBorders>
              <w:tl2br w:val="nil"/>
              <w:tr2bl w:val="nil"/>
            </w:tcBorders>
            <w:vAlign w:val="center"/>
          </w:tcPr>
          <w:p>
            <w:pPr>
              <w:pStyle w:val="11"/>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1.井下爆炸物品库、爆炸物品贮存及运输符合《煤矿安全规程》规定</w:t>
            </w:r>
          </w:p>
          <w:p>
            <w:pPr>
              <w:pStyle w:val="11"/>
              <w:rPr>
                <w:rFonts w:hint="eastAsia" w:asciiTheme="majorEastAsia" w:hAnsiTheme="majorEastAsia" w:eastAsiaTheme="majorEastAsia" w:cstheme="majorEastAsia"/>
                <w:color w:val="FF0000"/>
                <w:kern w:val="0"/>
                <w:sz w:val="21"/>
                <w:szCs w:val="21"/>
                <w:highlight w:val="none"/>
              </w:rPr>
            </w:pPr>
            <w:r>
              <w:rPr>
                <w:rFonts w:hint="eastAsia" w:asciiTheme="majorEastAsia" w:hAnsiTheme="majorEastAsia" w:eastAsiaTheme="majorEastAsia" w:cstheme="majorEastAsia"/>
                <w:color w:val="FF0000"/>
                <w:kern w:val="0"/>
                <w:sz w:val="21"/>
                <w:szCs w:val="21"/>
                <w:highlight w:val="none"/>
              </w:rPr>
              <w:t>2.有爆炸物品领退制度，电雷管（包括清退入库的电雷管）在发给爆破工前，用电雷管检测仪逐个测试电阻值，并将脚线扭结成短路</w:t>
            </w:r>
          </w:p>
          <w:p>
            <w:pPr>
              <w:pStyle w:val="11"/>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FF0000"/>
                <w:kern w:val="0"/>
                <w:sz w:val="21"/>
                <w:szCs w:val="21"/>
                <w:highlight w:val="none"/>
              </w:rPr>
              <w:t>3.爆炸物品现场存放、引药制作符合《煤矿安全规程》规定</w:t>
            </w:r>
          </w:p>
        </w:tc>
        <w:tc>
          <w:tcPr>
            <w:tcW w:w="3010" w:type="dxa"/>
            <w:tcBorders>
              <w:tl2br w:val="nil"/>
              <w:tr2bl w:val="nil"/>
            </w:tcBorders>
            <w:vAlign w:val="center"/>
          </w:tcPr>
          <w:p>
            <w:pPr>
              <w:widowControl/>
              <w:textAlignment w:val="center"/>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概述</w:t>
            </w:r>
            <w:r>
              <w:rPr>
                <w:rFonts w:hint="eastAsia" w:asciiTheme="majorEastAsia" w:hAnsiTheme="majorEastAsia" w:eastAsiaTheme="majorEastAsia" w:cstheme="majorEastAsia"/>
                <w:color w:val="auto"/>
                <w:kern w:val="0"/>
                <w:sz w:val="21"/>
                <w:szCs w:val="21"/>
                <w:highlight w:val="none"/>
              </w:rPr>
              <w:t>井下爆炸物品库、爆炸物品运输、贮存</w:t>
            </w:r>
            <w:r>
              <w:rPr>
                <w:rFonts w:hint="eastAsia" w:asciiTheme="majorEastAsia" w:hAnsiTheme="majorEastAsia" w:eastAsiaTheme="majorEastAsia" w:cstheme="majorEastAsia"/>
                <w:color w:val="auto"/>
                <w:kern w:val="0"/>
                <w:sz w:val="21"/>
                <w:szCs w:val="21"/>
                <w:highlight w:val="none"/>
                <w:lang w:val="en-US" w:eastAsia="zh-CN"/>
              </w:rPr>
              <w:t>相关规定，不再细化</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1185" w:hRule="atLeast"/>
        </w:trPr>
        <w:tc>
          <w:tcPr>
            <w:tcW w:w="1019" w:type="dxa"/>
            <w:vMerge w:val="continue"/>
            <w:tcBorders>
              <w:tl2br w:val="nil"/>
              <w:tr2bl w:val="nil"/>
            </w:tcBorders>
            <w:textDirection w:val="tbLrV"/>
            <w:vAlign w:val="center"/>
          </w:tcPr>
          <w:p>
            <w:pPr>
              <w:widowControl/>
              <w:ind w:left="113" w:right="113"/>
              <w:jc w:val="center"/>
              <w:rPr>
                <w:rFonts w:hint="eastAsia" w:asciiTheme="majorEastAsia" w:hAnsiTheme="majorEastAsia" w:eastAsiaTheme="majorEastAsia" w:cstheme="majorEastAsia"/>
                <w:sz w:val="21"/>
                <w:szCs w:val="21"/>
                <w:highlight w:val="none"/>
              </w:rPr>
            </w:pPr>
          </w:p>
        </w:tc>
        <w:tc>
          <w:tcPr>
            <w:tcW w:w="1065" w:type="dxa"/>
            <w:vMerge w:val="restart"/>
            <w:tcBorders>
              <w:tl2br w:val="nil"/>
              <w:tr2bl w:val="nil"/>
            </w:tcBorders>
            <w:vAlign w:val="center"/>
          </w:tcPr>
          <w:p>
            <w:pPr>
              <w:widowControl/>
              <w:jc w:val="center"/>
              <w:textAlignment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kern w:val="0"/>
                <w:sz w:val="21"/>
                <w:szCs w:val="21"/>
                <w:highlight w:val="none"/>
              </w:rPr>
              <w:t>爆破管理</w:t>
            </w:r>
          </w:p>
        </w:tc>
        <w:tc>
          <w:tcPr>
            <w:tcW w:w="4901" w:type="dxa"/>
            <w:tcBorders>
              <w:tl2br w:val="nil"/>
              <w:tr2bl w:val="nil"/>
            </w:tcBorders>
            <w:vAlign w:val="center"/>
          </w:tcPr>
          <w:p>
            <w:pPr>
              <w:widowControl/>
              <w:jc w:val="left"/>
              <w:textAlignment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B0F0"/>
                <w:kern w:val="0"/>
                <w:sz w:val="21"/>
                <w:szCs w:val="21"/>
                <w:highlight w:val="none"/>
              </w:rPr>
              <w:t>井下选用爆炸物品类型与矿井瓦斯等级匹配；爆炸物品由专人领取、保管、使用，严禁交于他人使用</w:t>
            </w:r>
          </w:p>
        </w:tc>
        <w:tc>
          <w:tcPr>
            <w:tcW w:w="3943" w:type="dxa"/>
            <w:tcBorders>
              <w:tl2br w:val="nil"/>
              <w:tr2bl w:val="nil"/>
            </w:tcBorders>
            <w:vAlign w:val="center"/>
          </w:tcPr>
          <w:p>
            <w:pPr>
              <w:pStyle w:val="11"/>
              <w:rPr>
                <w:rFonts w:hint="eastAsia" w:asciiTheme="majorEastAsia" w:hAnsiTheme="majorEastAsia" w:eastAsiaTheme="majorEastAsia" w:cstheme="majorEastAsia"/>
                <w:kern w:val="0"/>
                <w:sz w:val="21"/>
                <w:szCs w:val="21"/>
                <w:highlight w:val="none"/>
              </w:rPr>
            </w:pPr>
          </w:p>
        </w:tc>
        <w:tc>
          <w:tcPr>
            <w:tcW w:w="3010" w:type="dxa"/>
            <w:tcBorders>
              <w:tl2br w:val="nil"/>
              <w:tr2bl w:val="nil"/>
            </w:tcBorders>
            <w:vAlign w:val="center"/>
          </w:tcPr>
          <w:p>
            <w:pPr>
              <w:widowControl/>
              <w:textAlignment w:val="center"/>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新增</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914" w:hRule="atLeast"/>
        </w:trPr>
        <w:tc>
          <w:tcPr>
            <w:tcW w:w="1019"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1065"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4901" w:type="dxa"/>
            <w:tcBorders>
              <w:tl2br w:val="nil"/>
              <w:tr2bl w:val="nil"/>
            </w:tcBorders>
            <w:vAlign w:val="center"/>
          </w:tcPr>
          <w:p>
            <w:pPr>
              <w:widowControl/>
              <w:jc w:val="left"/>
              <w:textAlignment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kern w:val="0"/>
                <w:sz w:val="21"/>
                <w:szCs w:val="21"/>
                <w:highlight w:val="none"/>
              </w:rPr>
              <w:t>编制爆破作业说明书，并严格执行；现场设置爆破图牌板</w:t>
            </w:r>
          </w:p>
        </w:tc>
        <w:tc>
          <w:tcPr>
            <w:tcW w:w="3943" w:type="dxa"/>
            <w:tcBorders>
              <w:tl2br w:val="nil"/>
              <w:tr2bl w:val="nil"/>
            </w:tcBorders>
            <w:vAlign w:val="center"/>
          </w:tcPr>
          <w:p>
            <w:pPr>
              <w:pStyle w:val="11"/>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2.编制爆破作业说明书，并严格执行；现场设置爆破图牌板</w:t>
            </w:r>
          </w:p>
        </w:tc>
        <w:tc>
          <w:tcPr>
            <w:tcW w:w="3010" w:type="dxa"/>
            <w:tcBorders>
              <w:tl2br w:val="nil"/>
              <w:tr2bl w:val="nil"/>
            </w:tcBorders>
            <w:vAlign w:val="center"/>
          </w:tcPr>
          <w:p>
            <w:pPr>
              <w:widowControl/>
              <w:textAlignment w:val="center"/>
              <w:rPr>
                <w:rFonts w:hint="eastAsia" w:asciiTheme="majorEastAsia" w:hAnsiTheme="majorEastAsia" w:eastAsiaTheme="majorEastAsia" w:cstheme="maj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2066" w:hRule="atLeast"/>
        </w:trPr>
        <w:tc>
          <w:tcPr>
            <w:tcW w:w="1019"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1065"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4901" w:type="dxa"/>
            <w:tcBorders>
              <w:tl2br w:val="nil"/>
              <w:tr2bl w:val="nil"/>
            </w:tcBorders>
            <w:vAlign w:val="center"/>
          </w:tcPr>
          <w:p>
            <w:pPr>
              <w:widowControl/>
              <w:jc w:val="left"/>
              <w:textAlignment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kern w:val="0"/>
                <w:sz w:val="21"/>
                <w:szCs w:val="21"/>
                <w:highlight w:val="none"/>
              </w:rPr>
              <w:t>爆破作业执行“一炮三检”和“三人连锁爆破”制度</w:t>
            </w:r>
            <w:r>
              <w:rPr>
                <w:rFonts w:hint="eastAsia" w:asciiTheme="majorEastAsia" w:hAnsiTheme="majorEastAsia" w:eastAsiaTheme="majorEastAsia" w:cstheme="majorEastAsia"/>
                <w:color w:val="0000FF"/>
                <w:kern w:val="0"/>
                <w:sz w:val="21"/>
                <w:szCs w:val="21"/>
                <w:highlight w:val="none"/>
              </w:rPr>
              <w:t>，</w:t>
            </w:r>
            <w:r>
              <w:rPr>
                <w:rFonts w:hint="eastAsia" w:asciiTheme="majorEastAsia" w:hAnsiTheme="majorEastAsia" w:eastAsiaTheme="majorEastAsia" w:cstheme="majorEastAsia"/>
                <w:color w:val="00B0F0"/>
                <w:kern w:val="0"/>
                <w:sz w:val="21"/>
                <w:szCs w:val="21"/>
                <w:highlight w:val="none"/>
              </w:rPr>
              <w:t>并在起爆前检查起爆地点的甲烷浓度；停送电、撤人、设岗警戒距离、起爆点至爆破点的距离、范围及程序应在作业规程中明确</w:t>
            </w:r>
          </w:p>
        </w:tc>
        <w:tc>
          <w:tcPr>
            <w:tcW w:w="3943" w:type="dxa"/>
            <w:tcBorders>
              <w:tl2br w:val="nil"/>
              <w:tr2bl w:val="nil"/>
            </w:tcBorders>
            <w:vAlign w:val="center"/>
          </w:tcPr>
          <w:p>
            <w:pPr>
              <w:pStyle w:val="11"/>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1.爆破作业执行“一炮三检”“三人连锁”制度，采取停送电（突出煤层）、撤人、设岗警戒措施。特殊情况下的爆破作业，制定安全技术措施，经矿总工程师批准后执行</w:t>
            </w:r>
          </w:p>
        </w:tc>
        <w:tc>
          <w:tcPr>
            <w:tcW w:w="3010" w:type="dxa"/>
            <w:tcBorders>
              <w:tl2br w:val="nil"/>
              <w:tr2bl w:val="nil"/>
            </w:tcBorders>
            <w:vAlign w:val="center"/>
          </w:tcPr>
          <w:p>
            <w:pPr>
              <w:widowControl/>
              <w:textAlignment w:val="center"/>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强调爆破前瓦斯检查，明确规程措施的重要性</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891" w:hRule="atLeast"/>
        </w:trPr>
        <w:tc>
          <w:tcPr>
            <w:tcW w:w="1019"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1065"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4901" w:type="dxa"/>
            <w:tcBorders>
              <w:tl2br w:val="nil"/>
              <w:tr2bl w:val="nil"/>
            </w:tcBorders>
            <w:vAlign w:val="center"/>
          </w:tcPr>
          <w:p>
            <w:pPr>
              <w:widowControl/>
              <w:jc w:val="left"/>
              <w:textAlignment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kern w:val="0"/>
                <w:sz w:val="21"/>
                <w:szCs w:val="21"/>
                <w:highlight w:val="none"/>
              </w:rPr>
              <w:t>装配起爆药卷，装药，使用水炮泥、封泥，残爆、拒爆处理符合规定</w:t>
            </w:r>
          </w:p>
        </w:tc>
        <w:tc>
          <w:tcPr>
            <w:tcW w:w="3943" w:type="dxa"/>
            <w:tcBorders>
              <w:tl2br w:val="nil"/>
              <w:tr2bl w:val="nil"/>
            </w:tcBorders>
            <w:vAlign w:val="center"/>
          </w:tcPr>
          <w:p>
            <w:pPr>
              <w:pStyle w:val="11"/>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4.残爆、拒爆处理符合《煤矿安全规程》规定</w:t>
            </w:r>
          </w:p>
        </w:tc>
        <w:tc>
          <w:tcPr>
            <w:tcW w:w="3010" w:type="dxa"/>
            <w:tcBorders>
              <w:tl2br w:val="nil"/>
              <w:tr2bl w:val="nil"/>
            </w:tcBorders>
            <w:vAlign w:val="center"/>
          </w:tcPr>
          <w:p>
            <w:pPr>
              <w:widowControl/>
              <w:textAlignment w:val="center"/>
              <w:rPr>
                <w:rFonts w:hint="eastAsia" w:asciiTheme="majorEastAsia" w:hAnsiTheme="majorEastAsia" w:eastAsiaTheme="majorEastAsia" w:cstheme="maj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1479" w:hRule="atLeast"/>
        </w:trPr>
        <w:tc>
          <w:tcPr>
            <w:tcW w:w="1019" w:type="dxa"/>
            <w:vMerge w:val="restart"/>
            <w:tcBorders>
              <w:tl2br w:val="nil"/>
              <w:tr2bl w:val="nil"/>
            </w:tcBorders>
            <w:textDirection w:val="tbLrV"/>
            <w:vAlign w:val="center"/>
          </w:tcPr>
          <w:p>
            <w:pPr>
              <w:widowControl/>
              <w:ind w:left="113" w:right="113"/>
              <w:jc w:val="center"/>
              <w:textAlignment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四、安全监控（25分）</w:t>
            </w:r>
          </w:p>
        </w:tc>
        <w:tc>
          <w:tcPr>
            <w:tcW w:w="1065" w:type="dxa"/>
            <w:vMerge w:val="restart"/>
            <w:tcBorders>
              <w:tl2br w:val="nil"/>
              <w:tr2bl w:val="nil"/>
            </w:tcBorders>
            <w:vAlign w:val="center"/>
          </w:tcPr>
          <w:p>
            <w:pPr>
              <w:widowControl/>
              <w:jc w:val="center"/>
              <w:textAlignment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kern w:val="0"/>
                <w:sz w:val="21"/>
                <w:szCs w:val="21"/>
                <w:highlight w:val="none"/>
              </w:rPr>
              <w:t>装备设置</w:t>
            </w:r>
          </w:p>
        </w:tc>
        <w:tc>
          <w:tcPr>
            <w:tcW w:w="4901" w:type="dxa"/>
            <w:tcBorders>
              <w:tl2br w:val="nil"/>
              <w:tr2bl w:val="nil"/>
            </w:tcBorders>
            <w:vAlign w:val="center"/>
          </w:tcPr>
          <w:p>
            <w:pPr>
              <w:widowControl/>
              <w:textAlignment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kern w:val="0"/>
                <w:sz w:val="21"/>
                <w:szCs w:val="21"/>
                <w:highlight w:val="none"/>
              </w:rPr>
              <w:t>安全监控系统具备“风电、甲烷电、故障”闭锁及手动控制断电闭锁功能和实时上传监控数据的功能</w:t>
            </w:r>
          </w:p>
        </w:tc>
        <w:tc>
          <w:tcPr>
            <w:tcW w:w="3943" w:type="dxa"/>
            <w:tcBorders>
              <w:tl2br w:val="nil"/>
              <w:tr2bl w:val="nil"/>
            </w:tcBorders>
            <w:vAlign w:val="center"/>
          </w:tcPr>
          <w:p>
            <w:pPr>
              <w:pStyle w:val="11"/>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w:t>
            </w:r>
            <w:r>
              <w:rPr>
                <w:rFonts w:hint="eastAsia" w:asciiTheme="majorEastAsia" w:hAnsiTheme="majorEastAsia" w:eastAsiaTheme="majorEastAsia" w:cstheme="majorEastAsia"/>
                <w:color w:val="FF0000"/>
                <w:kern w:val="0"/>
                <w:sz w:val="21"/>
                <w:szCs w:val="21"/>
                <w:highlight w:val="none"/>
              </w:rPr>
              <w:t>矿井</w:t>
            </w:r>
            <w:r>
              <w:rPr>
                <w:rFonts w:hint="eastAsia" w:asciiTheme="majorEastAsia" w:hAnsiTheme="majorEastAsia" w:eastAsiaTheme="majorEastAsia" w:cstheme="majorEastAsia"/>
                <w:kern w:val="0"/>
                <w:sz w:val="21"/>
                <w:szCs w:val="21"/>
                <w:highlight w:val="none"/>
              </w:rPr>
              <w:t>安全监控系统具备“风电、甲烷电、故障”闭锁及手动控制断电闭锁功能和实时上传监控数据的功能</w:t>
            </w:r>
          </w:p>
        </w:tc>
        <w:tc>
          <w:tcPr>
            <w:tcW w:w="3010" w:type="dxa"/>
            <w:tcBorders>
              <w:tl2br w:val="nil"/>
              <w:tr2bl w:val="nil"/>
            </w:tcBorders>
            <w:vAlign w:val="center"/>
          </w:tcPr>
          <w:p>
            <w:pPr>
              <w:widowControl/>
              <w:textAlignment w:val="center"/>
              <w:rPr>
                <w:rFonts w:hint="eastAsia" w:asciiTheme="majorEastAsia" w:hAnsiTheme="majorEastAsia" w:eastAsiaTheme="majorEastAsia" w:cstheme="maj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1210" w:hRule="atLeast"/>
        </w:trPr>
        <w:tc>
          <w:tcPr>
            <w:tcW w:w="1019"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1065" w:type="dxa"/>
            <w:vMerge w:val="continue"/>
            <w:tcBorders>
              <w:tl2br w:val="nil"/>
              <w:tr2bl w:val="nil"/>
            </w:tcBorders>
            <w:vAlign w:val="center"/>
          </w:tcPr>
          <w:p>
            <w:pPr>
              <w:widowControl/>
              <w:jc w:val="center"/>
              <w:textAlignment w:val="center"/>
              <w:rPr>
                <w:rFonts w:hint="eastAsia" w:asciiTheme="majorEastAsia" w:hAnsiTheme="majorEastAsia" w:eastAsiaTheme="majorEastAsia" w:cstheme="majorEastAsia"/>
                <w:sz w:val="21"/>
                <w:szCs w:val="21"/>
                <w:highlight w:val="none"/>
              </w:rPr>
            </w:pPr>
          </w:p>
        </w:tc>
        <w:tc>
          <w:tcPr>
            <w:tcW w:w="4901" w:type="dxa"/>
            <w:tcBorders>
              <w:tl2br w:val="nil"/>
              <w:tr2bl w:val="nil"/>
            </w:tcBorders>
            <w:vAlign w:val="center"/>
          </w:tcPr>
          <w:p>
            <w:pPr>
              <w:widowControl/>
              <w:jc w:val="left"/>
              <w:textAlignment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color w:val="00B0F0"/>
                <w:kern w:val="0"/>
                <w:sz w:val="21"/>
                <w:szCs w:val="21"/>
                <w:highlight w:val="none"/>
              </w:rPr>
              <w:t>瓦斯超限、断电等需紧急撤人时，安全监控系统有自动与应急广播、通信、人员位置监测等系统应急联动的功能</w:t>
            </w:r>
          </w:p>
        </w:tc>
        <w:tc>
          <w:tcPr>
            <w:tcW w:w="3943" w:type="dxa"/>
            <w:tcBorders>
              <w:tl2br w:val="nil"/>
              <w:tr2bl w:val="nil"/>
            </w:tcBorders>
            <w:vAlign w:val="center"/>
          </w:tcPr>
          <w:p>
            <w:pPr>
              <w:pStyle w:val="11"/>
              <w:rPr>
                <w:rFonts w:hint="eastAsia" w:asciiTheme="majorEastAsia" w:hAnsiTheme="majorEastAsia" w:eastAsiaTheme="majorEastAsia" w:cstheme="majorEastAsia"/>
                <w:kern w:val="0"/>
                <w:sz w:val="21"/>
                <w:szCs w:val="21"/>
                <w:highlight w:val="none"/>
              </w:rPr>
            </w:pPr>
          </w:p>
        </w:tc>
        <w:tc>
          <w:tcPr>
            <w:tcW w:w="3010" w:type="dxa"/>
            <w:tcBorders>
              <w:tl2br w:val="nil"/>
              <w:tr2bl w:val="nil"/>
            </w:tcBorders>
            <w:vAlign w:val="center"/>
          </w:tcPr>
          <w:p>
            <w:pPr>
              <w:widowControl/>
              <w:textAlignment w:val="center"/>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新增</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1479" w:hRule="atLeast"/>
        </w:trPr>
        <w:tc>
          <w:tcPr>
            <w:tcW w:w="1019"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1065" w:type="dxa"/>
            <w:vMerge w:val="continue"/>
            <w:tcBorders>
              <w:tl2br w:val="nil"/>
              <w:tr2bl w:val="nil"/>
            </w:tcBorders>
            <w:vAlign w:val="center"/>
          </w:tcPr>
          <w:p>
            <w:pPr>
              <w:widowControl/>
              <w:jc w:val="center"/>
              <w:textAlignment w:val="center"/>
              <w:rPr>
                <w:rFonts w:hint="eastAsia" w:asciiTheme="majorEastAsia" w:hAnsiTheme="majorEastAsia" w:eastAsiaTheme="majorEastAsia" w:cstheme="majorEastAsia"/>
                <w:sz w:val="21"/>
                <w:szCs w:val="21"/>
                <w:highlight w:val="none"/>
              </w:rPr>
            </w:pPr>
          </w:p>
        </w:tc>
        <w:tc>
          <w:tcPr>
            <w:tcW w:w="4901" w:type="dxa"/>
            <w:tcBorders>
              <w:tl2br w:val="nil"/>
              <w:tr2bl w:val="nil"/>
            </w:tcBorders>
            <w:vAlign w:val="center"/>
          </w:tcPr>
          <w:p>
            <w:pPr>
              <w:widowControl/>
              <w:textAlignment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kern w:val="0"/>
                <w:sz w:val="21"/>
                <w:szCs w:val="21"/>
                <w:highlight w:val="none"/>
              </w:rPr>
              <w:t>安全监控系统的主机双机热备，连续运行；中心站设双回路供电，并配备不小于4h在线式不间断电源，井下分站有备用电源</w:t>
            </w:r>
            <w:r>
              <w:rPr>
                <w:rFonts w:hint="eastAsia" w:asciiTheme="majorEastAsia" w:hAnsiTheme="majorEastAsia" w:eastAsiaTheme="majorEastAsia" w:cstheme="majorEastAsia"/>
                <w:color w:val="0000FF"/>
                <w:kern w:val="0"/>
                <w:sz w:val="21"/>
                <w:szCs w:val="21"/>
                <w:highlight w:val="none"/>
              </w:rPr>
              <w:t>，</w:t>
            </w:r>
            <w:r>
              <w:rPr>
                <w:rFonts w:hint="eastAsia" w:asciiTheme="majorEastAsia" w:hAnsiTheme="majorEastAsia" w:eastAsiaTheme="majorEastAsia" w:cstheme="majorEastAsia"/>
                <w:color w:val="00B0F0"/>
                <w:kern w:val="0"/>
                <w:sz w:val="21"/>
                <w:szCs w:val="21"/>
                <w:highlight w:val="none"/>
              </w:rPr>
              <w:t>能保证断电时监测设备可以连续运行2h；</w:t>
            </w:r>
            <w:r>
              <w:rPr>
                <w:rFonts w:hint="eastAsia" w:asciiTheme="majorEastAsia" w:hAnsiTheme="majorEastAsia" w:eastAsiaTheme="majorEastAsia" w:cstheme="majorEastAsia"/>
                <w:kern w:val="0"/>
                <w:sz w:val="21"/>
                <w:szCs w:val="21"/>
                <w:highlight w:val="none"/>
              </w:rPr>
              <w:t>中心站设备</w:t>
            </w:r>
            <w:r>
              <w:rPr>
                <w:rFonts w:hint="eastAsia" w:asciiTheme="majorEastAsia" w:hAnsiTheme="majorEastAsia" w:eastAsiaTheme="majorEastAsia" w:cstheme="majorEastAsia"/>
                <w:color w:val="auto"/>
                <w:kern w:val="0"/>
                <w:sz w:val="21"/>
                <w:szCs w:val="21"/>
                <w:highlight w:val="none"/>
              </w:rPr>
              <w:t>设有可靠的</w:t>
            </w:r>
            <w:r>
              <w:rPr>
                <w:rFonts w:hint="eastAsia" w:asciiTheme="majorEastAsia" w:hAnsiTheme="majorEastAsia" w:eastAsiaTheme="majorEastAsia" w:cstheme="majorEastAsia"/>
                <w:kern w:val="0"/>
                <w:sz w:val="21"/>
                <w:szCs w:val="21"/>
                <w:highlight w:val="none"/>
              </w:rPr>
              <w:t>接地装置和防雷电装置；安全监控系统显示和控制终端设置在矿调度室，严格按照安全监控人员值班制度要求24h有监控人员值班，建立监控系统数据库，系统数据有备份并保存2年以上</w:t>
            </w:r>
          </w:p>
        </w:tc>
        <w:tc>
          <w:tcPr>
            <w:tcW w:w="3943" w:type="dxa"/>
            <w:tcBorders>
              <w:tl2br w:val="nil"/>
              <w:tr2bl w:val="nil"/>
            </w:tcBorders>
            <w:vAlign w:val="center"/>
          </w:tcPr>
          <w:p>
            <w:pPr>
              <w:pStyle w:val="11"/>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2.安全监控系统显示和控制终端设置在矿调度室，24h有监控人员值班</w:t>
            </w:r>
          </w:p>
          <w:p>
            <w:pPr>
              <w:pStyle w:val="11"/>
              <w:rPr>
                <w:rFonts w:hint="eastAsia" w:asciiTheme="majorEastAsia" w:hAnsiTheme="majorEastAsia" w:eastAsiaTheme="majorEastAsia" w:cstheme="majorEastAsia"/>
                <w:kern w:val="0"/>
                <w:sz w:val="21"/>
                <w:szCs w:val="21"/>
                <w:highlight w:val="none"/>
                <w:lang w:eastAsia="zh-CN"/>
              </w:rPr>
            </w:pPr>
            <w:r>
              <w:rPr>
                <w:rFonts w:hint="eastAsia" w:asciiTheme="majorEastAsia" w:hAnsiTheme="majorEastAsia" w:eastAsiaTheme="majorEastAsia" w:cstheme="majorEastAsia"/>
                <w:kern w:val="0"/>
                <w:sz w:val="21"/>
                <w:szCs w:val="21"/>
                <w:highlight w:val="none"/>
              </w:rPr>
              <w:t>3.安全监控系统的主机双机热备，连续运行，当工作主机发生故障时</w:t>
            </w:r>
            <w:r>
              <w:rPr>
                <w:rFonts w:hint="eastAsia" w:asciiTheme="majorEastAsia" w:hAnsiTheme="majorEastAsia" w:eastAsiaTheme="majorEastAsia" w:cstheme="majorEastAsia"/>
                <w:color w:val="FF0000"/>
                <w:kern w:val="0"/>
                <w:sz w:val="21"/>
                <w:szCs w:val="21"/>
                <w:highlight w:val="none"/>
              </w:rPr>
              <w:t>，备用主机应在60s内自动投入工作</w:t>
            </w:r>
            <w:r>
              <w:rPr>
                <w:rFonts w:hint="eastAsia" w:asciiTheme="majorEastAsia" w:hAnsiTheme="majorEastAsia" w:eastAsiaTheme="majorEastAsia" w:cstheme="majorEastAsia"/>
                <w:kern w:val="0"/>
                <w:sz w:val="21"/>
                <w:szCs w:val="21"/>
                <w:highlight w:val="none"/>
              </w:rPr>
              <w:t>；中心站应双回路供电并配备不小于4h在线式不间断电源；站内设备应有可靠的接地和防雷装置，</w:t>
            </w:r>
            <w:r>
              <w:rPr>
                <w:rFonts w:hint="eastAsia" w:asciiTheme="majorEastAsia" w:hAnsiTheme="majorEastAsia" w:eastAsiaTheme="majorEastAsia" w:cstheme="majorEastAsia"/>
                <w:color w:val="FF0000"/>
                <w:kern w:val="0"/>
                <w:sz w:val="21"/>
                <w:szCs w:val="21"/>
                <w:highlight w:val="none"/>
              </w:rPr>
              <w:t>监控使用录音电话，录音保存3个月以上</w:t>
            </w:r>
            <w:r>
              <w:rPr>
                <w:rFonts w:hint="eastAsia" w:asciiTheme="majorEastAsia" w:hAnsiTheme="majorEastAsia" w:eastAsiaTheme="majorEastAsia" w:cstheme="majorEastAsia"/>
                <w:kern w:val="0"/>
                <w:sz w:val="21"/>
                <w:szCs w:val="21"/>
                <w:highlight w:val="none"/>
                <w:lang w:eastAsia="zh-CN"/>
              </w:rPr>
              <w:t>。</w:t>
            </w:r>
          </w:p>
          <w:p>
            <w:pPr>
              <w:pStyle w:val="11"/>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kern w:val="0"/>
                <w:sz w:val="21"/>
                <w:szCs w:val="21"/>
                <w:highlight w:val="none"/>
                <w:lang w:val="en-US" w:eastAsia="zh-CN"/>
              </w:rPr>
              <w:t>4.</w:t>
            </w:r>
            <w:r>
              <w:rPr>
                <w:rFonts w:hint="eastAsia" w:asciiTheme="majorEastAsia" w:hAnsiTheme="majorEastAsia" w:eastAsiaTheme="majorEastAsia" w:cstheme="majorEastAsia"/>
                <w:color w:val="FF0000"/>
                <w:kern w:val="0"/>
                <w:sz w:val="21"/>
                <w:szCs w:val="21"/>
                <w:highlight w:val="none"/>
              </w:rPr>
              <w:t>有监控系统运行日志，安全监控日报及报警断电记录月报经矿长、总工程师签字</w:t>
            </w:r>
            <w:r>
              <w:rPr>
                <w:rFonts w:hint="eastAsia" w:asciiTheme="majorEastAsia" w:hAnsiTheme="majorEastAsia" w:eastAsiaTheme="majorEastAsia" w:cstheme="majorEastAsia"/>
                <w:kern w:val="0"/>
                <w:sz w:val="21"/>
                <w:szCs w:val="21"/>
                <w:highlight w:val="none"/>
              </w:rPr>
              <w:t>；建立监控系统数据库，系统数据有备份并保存2年以上</w:t>
            </w:r>
            <w:r>
              <w:rPr>
                <w:rFonts w:hint="eastAsia" w:asciiTheme="majorEastAsia" w:hAnsiTheme="majorEastAsia" w:eastAsiaTheme="majorEastAsia" w:cstheme="majorEastAsia"/>
                <w:kern w:val="0"/>
                <w:sz w:val="21"/>
                <w:szCs w:val="21"/>
                <w:highlight w:val="none"/>
                <w:lang w:eastAsia="zh-CN"/>
              </w:rPr>
              <w:t>。</w:t>
            </w:r>
          </w:p>
        </w:tc>
        <w:tc>
          <w:tcPr>
            <w:tcW w:w="3010" w:type="dxa"/>
            <w:tcBorders>
              <w:tl2br w:val="nil"/>
              <w:tr2bl w:val="nil"/>
            </w:tcBorders>
            <w:vAlign w:val="center"/>
          </w:tcPr>
          <w:p>
            <w:pPr>
              <w:pStyle w:val="11"/>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新版删除：1.删除备用主机应在60s内自动投入工作</w:t>
            </w:r>
          </w:p>
          <w:p>
            <w:pPr>
              <w:pStyle w:val="11"/>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2.删除监控使用录音电话，录音保存3个月以上</w:t>
            </w:r>
          </w:p>
          <w:p>
            <w:pPr>
              <w:pStyle w:val="11"/>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3.删除有监控系统运行日志，安全监控日报及报警断电记录月报经矿长、总工程师签字。</w:t>
            </w:r>
          </w:p>
          <w:p>
            <w:pPr>
              <w:pStyle w:val="11"/>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但是，AQ1029-2019有明确规定，除“录音保存3个月以上”外。</w:t>
            </w:r>
          </w:p>
          <w:p>
            <w:pPr>
              <w:widowControl/>
              <w:textAlignment w:val="center"/>
              <w:rPr>
                <w:rFonts w:hint="eastAsia" w:asciiTheme="majorEastAsia" w:hAnsiTheme="majorEastAsia" w:eastAsiaTheme="majorEastAsia" w:cstheme="majorEastAsia"/>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2948" w:hRule="atLeast"/>
        </w:trPr>
        <w:tc>
          <w:tcPr>
            <w:tcW w:w="1019"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1065" w:type="dxa"/>
            <w:vMerge w:val="continue"/>
            <w:tcBorders>
              <w:tl2br w:val="nil"/>
              <w:tr2bl w:val="nil"/>
            </w:tcBorders>
            <w:vAlign w:val="center"/>
          </w:tcPr>
          <w:p>
            <w:pPr>
              <w:widowControl/>
              <w:jc w:val="center"/>
              <w:textAlignment w:val="center"/>
              <w:rPr>
                <w:rFonts w:hint="eastAsia" w:asciiTheme="majorEastAsia" w:hAnsiTheme="majorEastAsia" w:eastAsiaTheme="majorEastAsia" w:cstheme="majorEastAsia"/>
                <w:sz w:val="21"/>
                <w:szCs w:val="21"/>
                <w:highlight w:val="none"/>
              </w:rPr>
            </w:pPr>
          </w:p>
        </w:tc>
        <w:tc>
          <w:tcPr>
            <w:tcW w:w="4901" w:type="dxa"/>
            <w:tcBorders>
              <w:tl2br w:val="nil"/>
              <w:tr2bl w:val="nil"/>
            </w:tcBorders>
            <w:vAlign w:val="center"/>
          </w:tcPr>
          <w:p>
            <w:pPr>
              <w:widowControl/>
              <w:textAlignment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kern w:val="0"/>
                <w:sz w:val="21"/>
                <w:szCs w:val="21"/>
                <w:highlight w:val="none"/>
              </w:rPr>
              <w:t>甲烷传感器的安装</w:t>
            </w:r>
            <w:r>
              <w:rPr>
                <w:rFonts w:hint="eastAsia" w:asciiTheme="majorEastAsia" w:hAnsiTheme="majorEastAsia" w:eastAsiaTheme="majorEastAsia" w:cstheme="majorEastAsia"/>
                <w:color w:val="00B0F0"/>
                <w:kern w:val="0"/>
                <w:sz w:val="21"/>
                <w:szCs w:val="21"/>
                <w:highlight w:val="none"/>
              </w:rPr>
              <w:t>类型</w:t>
            </w:r>
            <w:r>
              <w:rPr>
                <w:rFonts w:hint="eastAsia" w:asciiTheme="majorEastAsia" w:hAnsiTheme="majorEastAsia" w:eastAsiaTheme="majorEastAsia" w:cstheme="majorEastAsia"/>
                <w:color w:val="0000FF"/>
                <w:kern w:val="0"/>
                <w:sz w:val="21"/>
                <w:szCs w:val="21"/>
                <w:highlight w:val="none"/>
              </w:rPr>
              <w:t>、</w:t>
            </w:r>
            <w:r>
              <w:rPr>
                <w:rFonts w:hint="eastAsia" w:asciiTheme="majorEastAsia" w:hAnsiTheme="majorEastAsia" w:eastAsiaTheme="majorEastAsia" w:cstheme="majorEastAsia"/>
                <w:kern w:val="0"/>
                <w:sz w:val="21"/>
                <w:szCs w:val="21"/>
                <w:highlight w:val="none"/>
              </w:rPr>
              <w:t>数量、位置、报警浓度、断电浓度、复电浓度、断电范围等符合规定；</w:t>
            </w:r>
            <w:r>
              <w:rPr>
                <w:rFonts w:hint="eastAsia" w:asciiTheme="majorEastAsia" w:hAnsiTheme="majorEastAsia" w:eastAsiaTheme="majorEastAsia" w:cstheme="majorEastAsia"/>
                <w:color w:val="00B0F0"/>
                <w:kern w:val="0"/>
                <w:sz w:val="21"/>
                <w:szCs w:val="21"/>
                <w:highlight w:val="none"/>
              </w:rPr>
              <w:t>一氧化碳、风速、风向、温度、风筒状态、烟雾、设备开停等传感器安装位置符合要求，运行正常</w:t>
            </w:r>
          </w:p>
        </w:tc>
        <w:tc>
          <w:tcPr>
            <w:tcW w:w="3943" w:type="dxa"/>
            <w:tcBorders>
              <w:tl2br w:val="nil"/>
              <w:tr2bl w:val="nil"/>
            </w:tcBorders>
            <w:vAlign w:val="center"/>
          </w:tcPr>
          <w:p>
            <w:pPr>
              <w:pStyle w:val="11"/>
              <w:rPr>
                <w:rFonts w:hint="eastAsia" w:asciiTheme="majorEastAsia" w:hAnsiTheme="majorEastAsia" w:eastAsiaTheme="majorEastAsia" w:cstheme="majorEastAsia"/>
                <w:kern w:val="0"/>
                <w:sz w:val="21"/>
                <w:szCs w:val="21"/>
                <w:highlight w:val="none"/>
                <w:lang w:eastAsia="zh-CN"/>
              </w:rPr>
            </w:pPr>
            <w:r>
              <w:rPr>
                <w:rFonts w:hint="eastAsia" w:asciiTheme="majorEastAsia" w:hAnsiTheme="majorEastAsia" w:eastAsiaTheme="majorEastAsia" w:cstheme="majorEastAsia"/>
                <w:kern w:val="0"/>
                <w:sz w:val="21"/>
                <w:szCs w:val="21"/>
                <w:highlight w:val="none"/>
              </w:rPr>
              <w:t>2.安全监控设备的种类、数量、位置、报警浓度、断电浓度、复电浓度、断电范围、电缆敷设等符合《煤矿安全规程》规定，设备性能、仪器精度符合要求，系统装备实行挂牌管理</w:t>
            </w:r>
            <w:r>
              <w:rPr>
                <w:rFonts w:hint="eastAsia" w:asciiTheme="majorEastAsia" w:hAnsiTheme="majorEastAsia" w:eastAsiaTheme="majorEastAsia" w:cstheme="majorEastAsia"/>
                <w:kern w:val="0"/>
                <w:sz w:val="21"/>
                <w:szCs w:val="21"/>
                <w:highlight w:val="none"/>
                <w:lang w:eastAsia="zh-CN"/>
              </w:rPr>
              <w:t>。</w:t>
            </w:r>
          </w:p>
          <w:p>
            <w:pPr>
              <w:pStyle w:val="11"/>
              <w:rPr>
                <w:rFonts w:hint="eastAsia" w:asciiTheme="majorEastAsia" w:hAnsiTheme="majorEastAsia" w:eastAsiaTheme="majorEastAsia" w:cstheme="majorEastAsia"/>
                <w:kern w:val="0"/>
                <w:sz w:val="21"/>
                <w:szCs w:val="21"/>
                <w:highlight w:val="none"/>
                <w:lang w:eastAsia="zh-CN"/>
              </w:rPr>
            </w:pPr>
            <w:r>
              <w:rPr>
                <w:rFonts w:hint="eastAsia" w:asciiTheme="majorEastAsia" w:hAnsiTheme="majorEastAsia" w:eastAsiaTheme="majorEastAsia" w:cstheme="majorEastAsia"/>
                <w:color w:val="FF0000"/>
                <w:kern w:val="0"/>
                <w:sz w:val="21"/>
                <w:szCs w:val="21"/>
                <w:highlight w:val="none"/>
              </w:rPr>
              <w:t xml:space="preserve">4.井下监控设备的完好率为100%，有监控设备台账，传感器、分站备用量不少于应配备数量的20%，待修率不超过20% </w:t>
            </w:r>
          </w:p>
        </w:tc>
        <w:tc>
          <w:tcPr>
            <w:tcW w:w="3010" w:type="dxa"/>
            <w:tcBorders>
              <w:tl2br w:val="nil"/>
              <w:tr2bl w:val="nil"/>
            </w:tcBorders>
            <w:vAlign w:val="center"/>
          </w:tcPr>
          <w:p>
            <w:pPr>
              <w:widowControl/>
              <w:textAlignment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1.明确</w:t>
            </w:r>
            <w:r>
              <w:rPr>
                <w:rFonts w:hint="eastAsia" w:asciiTheme="majorEastAsia" w:hAnsiTheme="majorEastAsia" w:eastAsiaTheme="majorEastAsia" w:cstheme="majorEastAsia"/>
                <w:color w:val="auto"/>
                <w:kern w:val="0"/>
                <w:sz w:val="21"/>
                <w:szCs w:val="21"/>
                <w:highlight w:val="none"/>
              </w:rPr>
              <w:t>一氧化碳、风速、风向、温度、风筒状态、烟雾、设备开停等传感器安装位置符合要求，运行正常</w:t>
            </w:r>
          </w:p>
          <w:p>
            <w:pPr>
              <w:widowControl/>
              <w:textAlignment w:val="center"/>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2.删除传感器备用量，但AQ1029-2019有明确规定</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567" w:hRule="atLeast"/>
        </w:trPr>
        <w:tc>
          <w:tcPr>
            <w:tcW w:w="1019"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1065" w:type="dxa"/>
            <w:vMerge w:val="restart"/>
            <w:tcBorders>
              <w:tl2br w:val="nil"/>
              <w:tr2bl w:val="nil"/>
            </w:tcBorders>
            <w:vAlign w:val="center"/>
          </w:tcPr>
          <w:p>
            <w:pPr>
              <w:widowControl/>
              <w:spacing w:after="0"/>
              <w:jc w:val="center"/>
              <w:textAlignment w:val="center"/>
              <w:rPr>
                <w:rFonts w:hint="eastAsia" w:asciiTheme="majorEastAsia" w:hAnsiTheme="majorEastAsia" w:eastAsiaTheme="majorEastAsia" w:cstheme="majorEastAsia"/>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调校测试</w:t>
            </w:r>
          </w:p>
        </w:tc>
        <w:tc>
          <w:tcPr>
            <w:tcW w:w="4901" w:type="dxa"/>
            <w:tcBorders>
              <w:tl2br w:val="nil"/>
              <w:tr2bl w:val="nil"/>
            </w:tcBorders>
            <w:vAlign w:val="center"/>
          </w:tcPr>
          <w:p>
            <w:pPr>
              <w:widowControl/>
              <w:jc w:val="left"/>
              <w:textAlignment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kern w:val="0"/>
                <w:sz w:val="21"/>
                <w:szCs w:val="21"/>
                <w:highlight w:val="none"/>
              </w:rPr>
              <w:t>载体催化甲烷传感器和</w:t>
            </w:r>
            <w:r>
              <w:rPr>
                <w:rFonts w:hint="eastAsia" w:asciiTheme="majorEastAsia" w:hAnsiTheme="majorEastAsia" w:eastAsiaTheme="majorEastAsia" w:cstheme="majorEastAsia"/>
                <w:color w:val="00B0F0"/>
                <w:kern w:val="0"/>
                <w:sz w:val="21"/>
                <w:szCs w:val="21"/>
                <w:highlight w:val="none"/>
              </w:rPr>
              <w:t>便携式载体催化甲烷检测报警仪</w:t>
            </w:r>
            <w:r>
              <w:rPr>
                <w:rFonts w:hint="eastAsia" w:asciiTheme="majorEastAsia" w:hAnsiTheme="majorEastAsia" w:eastAsiaTheme="majorEastAsia" w:cstheme="majorEastAsia"/>
                <w:kern w:val="0"/>
                <w:sz w:val="21"/>
                <w:szCs w:val="21"/>
                <w:highlight w:val="none"/>
              </w:rPr>
              <w:t>每半个月至少调校1次；激光甲烷传感器和</w:t>
            </w:r>
            <w:r>
              <w:rPr>
                <w:rFonts w:hint="eastAsia" w:asciiTheme="majorEastAsia" w:hAnsiTheme="majorEastAsia" w:eastAsiaTheme="majorEastAsia" w:cstheme="majorEastAsia"/>
                <w:color w:val="00B0F0"/>
                <w:kern w:val="0"/>
                <w:sz w:val="21"/>
                <w:szCs w:val="21"/>
                <w:highlight w:val="none"/>
              </w:rPr>
              <w:t>便携式激光甲烷检测报警仪</w:t>
            </w:r>
            <w:r>
              <w:rPr>
                <w:rFonts w:hint="eastAsia" w:asciiTheme="majorEastAsia" w:hAnsiTheme="majorEastAsia" w:eastAsiaTheme="majorEastAsia" w:cstheme="majorEastAsia"/>
                <w:kern w:val="0"/>
                <w:sz w:val="21"/>
                <w:szCs w:val="21"/>
                <w:highlight w:val="none"/>
              </w:rPr>
              <w:t>每半年至少调校1次；其他传感器和便携式检测报警仪应按有关标准定期调校；甲烷电闭锁和风电闭锁功能每半个月至少测试１次；其他安全监控设备每月至少调校或测试１次</w:t>
            </w:r>
          </w:p>
        </w:tc>
        <w:tc>
          <w:tcPr>
            <w:tcW w:w="3943" w:type="dxa"/>
            <w:tcBorders>
              <w:tl2br w:val="nil"/>
              <w:tr2bl w:val="nil"/>
            </w:tcBorders>
            <w:vAlign w:val="center"/>
          </w:tcPr>
          <w:p>
            <w:pPr>
              <w:pStyle w:val="11"/>
              <w:rPr>
                <w:rFonts w:hint="eastAsia" w:asciiTheme="majorEastAsia" w:hAnsiTheme="majorEastAsia" w:eastAsiaTheme="majorEastAsia" w:cstheme="majorEastAsia"/>
                <w:kern w:val="0"/>
                <w:sz w:val="21"/>
                <w:szCs w:val="21"/>
                <w:highlight w:val="none"/>
                <w:lang w:eastAsia="zh-CN"/>
              </w:rPr>
            </w:pPr>
            <w:r>
              <w:rPr>
                <w:rFonts w:hint="eastAsia" w:asciiTheme="majorEastAsia" w:hAnsiTheme="majorEastAsia" w:eastAsiaTheme="majorEastAsia" w:cstheme="majorEastAsia"/>
                <w:kern w:val="0"/>
                <w:sz w:val="21"/>
                <w:szCs w:val="21"/>
                <w:highlight w:val="none"/>
              </w:rPr>
              <w:t>安全监控设备每月至少调校、测试1次。</w:t>
            </w:r>
            <w:r>
              <w:rPr>
                <w:rFonts w:hint="eastAsia" w:asciiTheme="majorEastAsia" w:hAnsiTheme="majorEastAsia" w:eastAsiaTheme="majorEastAsia" w:cstheme="majorEastAsia"/>
                <w:bCs/>
                <w:kern w:val="0"/>
                <w:sz w:val="21"/>
                <w:szCs w:val="21"/>
                <w:highlight w:val="none"/>
              </w:rPr>
              <w:t>甲烷传感器应使用标准气样和空气气样在设备设置地点调校，</w:t>
            </w:r>
            <w:r>
              <w:rPr>
                <w:rFonts w:hint="eastAsia" w:asciiTheme="majorEastAsia" w:hAnsiTheme="majorEastAsia" w:eastAsiaTheme="majorEastAsia" w:cstheme="majorEastAsia"/>
                <w:kern w:val="0"/>
                <w:sz w:val="21"/>
                <w:szCs w:val="21"/>
                <w:highlight w:val="none"/>
              </w:rPr>
              <w:t>采用载体催化</w:t>
            </w:r>
            <w:r>
              <w:rPr>
                <w:rFonts w:hint="eastAsia" w:asciiTheme="majorEastAsia" w:hAnsiTheme="majorEastAsia" w:eastAsiaTheme="majorEastAsia" w:cstheme="majorEastAsia"/>
                <w:bCs/>
                <w:kern w:val="0"/>
                <w:sz w:val="21"/>
                <w:szCs w:val="21"/>
                <w:highlight w:val="none"/>
              </w:rPr>
              <w:t>原理</w:t>
            </w:r>
            <w:r>
              <w:rPr>
                <w:rFonts w:hint="eastAsia" w:asciiTheme="majorEastAsia" w:hAnsiTheme="majorEastAsia" w:eastAsiaTheme="majorEastAsia" w:cstheme="majorEastAsia"/>
                <w:kern w:val="0"/>
                <w:sz w:val="21"/>
                <w:szCs w:val="21"/>
                <w:highlight w:val="none"/>
              </w:rPr>
              <w:t>的甲烷传感器每15天</w:t>
            </w:r>
            <w:r>
              <w:rPr>
                <w:rFonts w:hint="eastAsia" w:asciiTheme="majorEastAsia" w:hAnsiTheme="majorEastAsia" w:eastAsiaTheme="majorEastAsia" w:cstheme="majorEastAsia"/>
                <w:bCs/>
                <w:kern w:val="0"/>
                <w:sz w:val="21"/>
                <w:szCs w:val="21"/>
                <w:highlight w:val="none"/>
              </w:rPr>
              <w:t>、采用激光原理的甲烷传感器每6个月</w:t>
            </w:r>
            <w:r>
              <w:rPr>
                <w:rFonts w:hint="eastAsia" w:asciiTheme="majorEastAsia" w:hAnsiTheme="majorEastAsia" w:eastAsiaTheme="majorEastAsia" w:cstheme="majorEastAsia"/>
                <w:kern w:val="0"/>
                <w:sz w:val="21"/>
                <w:szCs w:val="21"/>
                <w:highlight w:val="none"/>
              </w:rPr>
              <w:t>至少调校1次</w:t>
            </w:r>
            <w:r>
              <w:rPr>
                <w:rFonts w:hint="eastAsia" w:asciiTheme="majorEastAsia" w:hAnsiTheme="majorEastAsia" w:eastAsiaTheme="majorEastAsia" w:cstheme="majorEastAsia"/>
                <w:color w:val="FF0000"/>
                <w:kern w:val="0"/>
                <w:sz w:val="21"/>
                <w:szCs w:val="21"/>
                <w:highlight w:val="none"/>
              </w:rPr>
              <w:t>，</w:t>
            </w:r>
            <w:r>
              <w:rPr>
                <w:rFonts w:hint="eastAsia" w:asciiTheme="majorEastAsia" w:hAnsiTheme="majorEastAsia" w:eastAsiaTheme="majorEastAsia" w:cstheme="majorEastAsia"/>
                <w:bCs/>
                <w:color w:val="FF0000"/>
                <w:kern w:val="0"/>
                <w:sz w:val="21"/>
                <w:szCs w:val="21"/>
                <w:highlight w:val="none"/>
              </w:rPr>
              <w:t>有现场</w:t>
            </w:r>
            <w:r>
              <w:rPr>
                <w:rFonts w:hint="eastAsia" w:asciiTheme="majorEastAsia" w:hAnsiTheme="majorEastAsia" w:eastAsiaTheme="majorEastAsia" w:cstheme="majorEastAsia"/>
                <w:color w:val="FF0000"/>
                <w:kern w:val="0"/>
                <w:sz w:val="21"/>
                <w:szCs w:val="21"/>
                <w:highlight w:val="none"/>
              </w:rPr>
              <w:t>调校记录</w:t>
            </w:r>
            <w:r>
              <w:rPr>
                <w:rFonts w:hint="eastAsia" w:asciiTheme="majorEastAsia" w:hAnsiTheme="majorEastAsia" w:eastAsiaTheme="majorEastAsia" w:cstheme="majorEastAsia"/>
                <w:kern w:val="0"/>
                <w:sz w:val="21"/>
                <w:szCs w:val="21"/>
                <w:highlight w:val="none"/>
              </w:rPr>
              <w:t>；</w:t>
            </w:r>
            <w:r>
              <w:rPr>
                <w:rFonts w:hint="eastAsia" w:asciiTheme="majorEastAsia" w:hAnsiTheme="majorEastAsia" w:eastAsiaTheme="majorEastAsia" w:cstheme="majorEastAsia"/>
                <w:bCs/>
                <w:kern w:val="0"/>
                <w:sz w:val="21"/>
                <w:szCs w:val="21"/>
                <w:highlight w:val="none"/>
              </w:rPr>
              <w:t>一氧化碳、风速、温度传感器等其他传感器按使用说明书要求定期调校</w:t>
            </w:r>
            <w:r>
              <w:rPr>
                <w:rFonts w:hint="eastAsia" w:asciiTheme="majorEastAsia" w:hAnsiTheme="majorEastAsia" w:eastAsiaTheme="majorEastAsia" w:cstheme="majorEastAsia"/>
                <w:kern w:val="0"/>
                <w:sz w:val="21"/>
                <w:szCs w:val="21"/>
                <w:highlight w:val="none"/>
              </w:rPr>
              <w:t>。甲烷电闭锁和风电闭锁功能每15天测试1次</w:t>
            </w:r>
            <w:r>
              <w:rPr>
                <w:rFonts w:hint="eastAsia" w:asciiTheme="majorEastAsia" w:hAnsiTheme="majorEastAsia" w:eastAsiaTheme="majorEastAsia" w:cstheme="majorEastAsia"/>
                <w:color w:val="FF0000"/>
                <w:kern w:val="0"/>
                <w:sz w:val="21"/>
                <w:szCs w:val="21"/>
                <w:highlight w:val="none"/>
              </w:rPr>
              <w:t>，其中，对可能造成局部通风机停电的，每半年测试1次，并有测试签字记录</w:t>
            </w:r>
          </w:p>
        </w:tc>
        <w:tc>
          <w:tcPr>
            <w:tcW w:w="3010" w:type="dxa"/>
            <w:tcBorders>
              <w:tl2br w:val="nil"/>
              <w:tr2bl w:val="nil"/>
            </w:tcBorders>
            <w:vAlign w:val="center"/>
          </w:tcPr>
          <w:p>
            <w:pPr>
              <w:widowControl/>
              <w:textAlignment w:val="center"/>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1.明确</w:t>
            </w:r>
            <w:r>
              <w:rPr>
                <w:rFonts w:hint="eastAsia" w:asciiTheme="majorEastAsia" w:hAnsiTheme="majorEastAsia" w:eastAsiaTheme="majorEastAsia" w:cstheme="majorEastAsia"/>
                <w:color w:val="auto"/>
                <w:kern w:val="0"/>
                <w:sz w:val="21"/>
                <w:szCs w:val="21"/>
                <w:highlight w:val="none"/>
              </w:rPr>
              <w:t>便携式载体催化</w:t>
            </w:r>
            <w:r>
              <w:rPr>
                <w:rFonts w:hint="eastAsia" w:asciiTheme="majorEastAsia" w:hAnsiTheme="majorEastAsia" w:eastAsiaTheme="majorEastAsia" w:cstheme="majorEastAsia"/>
                <w:color w:val="auto"/>
                <w:kern w:val="0"/>
                <w:sz w:val="21"/>
                <w:szCs w:val="21"/>
                <w:highlight w:val="none"/>
                <w:lang w:val="en-US" w:eastAsia="zh-CN"/>
              </w:rPr>
              <w:t>和</w:t>
            </w:r>
            <w:r>
              <w:rPr>
                <w:rFonts w:hint="eastAsia" w:asciiTheme="majorEastAsia" w:hAnsiTheme="majorEastAsia" w:eastAsiaTheme="majorEastAsia" w:cstheme="majorEastAsia"/>
                <w:color w:val="auto"/>
                <w:kern w:val="0"/>
                <w:sz w:val="21"/>
                <w:szCs w:val="21"/>
                <w:highlight w:val="none"/>
              </w:rPr>
              <w:t>激光甲烷检测报警仪</w:t>
            </w:r>
            <w:r>
              <w:rPr>
                <w:rFonts w:hint="eastAsia" w:asciiTheme="majorEastAsia" w:hAnsiTheme="majorEastAsia" w:eastAsiaTheme="majorEastAsia" w:cstheme="majorEastAsia"/>
                <w:color w:val="auto"/>
                <w:kern w:val="0"/>
                <w:sz w:val="21"/>
                <w:szCs w:val="21"/>
                <w:highlight w:val="none"/>
                <w:lang w:val="en-US" w:eastAsia="zh-CN"/>
              </w:rPr>
              <w:t>的调校时间，不再明确调校记录。</w:t>
            </w:r>
          </w:p>
          <w:p>
            <w:pPr>
              <w:widowControl/>
              <w:textAlignment w:val="center"/>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2.删除</w:t>
            </w:r>
            <w:r>
              <w:rPr>
                <w:rFonts w:hint="eastAsia" w:asciiTheme="majorEastAsia" w:hAnsiTheme="majorEastAsia" w:eastAsiaTheme="majorEastAsia" w:cstheme="majorEastAsia"/>
                <w:color w:val="auto"/>
                <w:kern w:val="0"/>
                <w:sz w:val="21"/>
                <w:szCs w:val="21"/>
                <w:highlight w:val="none"/>
              </w:rPr>
              <w:t>可能造成局部通风机停电每半年测试1次</w:t>
            </w:r>
            <w:r>
              <w:rPr>
                <w:rFonts w:hint="eastAsia" w:asciiTheme="majorEastAsia" w:hAnsiTheme="majorEastAsia" w:eastAsiaTheme="majorEastAsia" w:cstheme="majorEastAsia"/>
                <w:color w:val="auto"/>
                <w:kern w:val="0"/>
                <w:sz w:val="21"/>
                <w:szCs w:val="21"/>
                <w:highlight w:val="none"/>
                <w:lang w:val="en-US" w:eastAsia="zh-CN"/>
              </w:rPr>
              <w:t>的详解，但煤矿安全规程有要求。</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1488" w:hRule="atLeast"/>
        </w:trPr>
        <w:tc>
          <w:tcPr>
            <w:tcW w:w="1019"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1065" w:type="dxa"/>
            <w:vMerge w:val="continue"/>
            <w:tcBorders>
              <w:tl2br w:val="nil"/>
              <w:tr2bl w:val="nil"/>
            </w:tcBorders>
            <w:vAlign w:val="center"/>
          </w:tcPr>
          <w:p>
            <w:pPr>
              <w:widowControl/>
              <w:jc w:val="left"/>
              <w:rPr>
                <w:rFonts w:hint="eastAsia" w:asciiTheme="majorEastAsia" w:hAnsiTheme="majorEastAsia" w:eastAsiaTheme="majorEastAsia" w:cstheme="majorEastAsia"/>
                <w:sz w:val="21"/>
                <w:szCs w:val="21"/>
                <w:highlight w:val="none"/>
              </w:rPr>
            </w:pPr>
          </w:p>
        </w:tc>
        <w:tc>
          <w:tcPr>
            <w:tcW w:w="4901" w:type="dxa"/>
            <w:tcBorders>
              <w:tl2br w:val="nil"/>
              <w:tr2bl w:val="nil"/>
            </w:tcBorders>
            <w:vAlign w:val="center"/>
          </w:tcPr>
          <w:p>
            <w:pPr>
              <w:widowControl/>
              <w:jc w:val="left"/>
              <w:textAlignment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kern w:val="0"/>
                <w:sz w:val="21"/>
                <w:szCs w:val="21"/>
                <w:highlight w:val="none"/>
              </w:rPr>
              <w:t>安全监控设备中断运行时，应查明原因、采取措施并及时处理，其间应采用人工监测补救安全措施，并做好记录</w:t>
            </w:r>
          </w:p>
        </w:tc>
        <w:tc>
          <w:tcPr>
            <w:tcW w:w="3943" w:type="dxa"/>
            <w:tcBorders>
              <w:tl2br w:val="nil"/>
              <w:tr2bl w:val="nil"/>
            </w:tcBorders>
            <w:vAlign w:val="center"/>
          </w:tcPr>
          <w:p>
            <w:pPr>
              <w:pStyle w:val="11"/>
              <w:rPr>
                <w:rFonts w:hint="eastAsia" w:asciiTheme="majorEastAsia" w:hAnsiTheme="majorEastAsia" w:eastAsiaTheme="majorEastAsia" w:cstheme="majorEastAsia"/>
                <w:kern w:val="0"/>
                <w:sz w:val="21"/>
                <w:szCs w:val="21"/>
                <w:highlight w:val="none"/>
                <w:lang w:eastAsia="zh-CN"/>
              </w:rPr>
            </w:pPr>
            <w:r>
              <w:rPr>
                <w:rFonts w:hint="eastAsia" w:asciiTheme="majorEastAsia" w:hAnsiTheme="majorEastAsia" w:eastAsiaTheme="majorEastAsia" w:cstheme="majorEastAsia"/>
                <w:kern w:val="0"/>
                <w:sz w:val="21"/>
                <w:szCs w:val="21"/>
                <w:highlight w:val="none"/>
              </w:rPr>
              <w:t>1.安全监控设备中断运行或者出现异常情况，查明原因，采取措施及时处理，其间采用人工检测，并有记录</w:t>
            </w:r>
            <w:r>
              <w:rPr>
                <w:rFonts w:hint="eastAsia" w:asciiTheme="majorEastAsia" w:hAnsiTheme="majorEastAsia" w:eastAsiaTheme="majorEastAsia" w:cstheme="majorEastAsia"/>
                <w:kern w:val="0"/>
                <w:sz w:val="21"/>
                <w:szCs w:val="21"/>
                <w:highlight w:val="none"/>
                <w:lang w:eastAsia="zh-CN"/>
              </w:rPr>
              <w:t>。</w:t>
            </w:r>
          </w:p>
        </w:tc>
        <w:tc>
          <w:tcPr>
            <w:tcW w:w="3010" w:type="dxa"/>
            <w:tcBorders>
              <w:tl2br w:val="nil"/>
              <w:tr2bl w:val="nil"/>
            </w:tcBorders>
            <w:vAlign w:val="center"/>
          </w:tcPr>
          <w:p>
            <w:pPr>
              <w:widowControl/>
              <w:textAlignment w:val="center"/>
              <w:rPr>
                <w:rFonts w:hint="eastAsia" w:asciiTheme="majorEastAsia" w:hAnsiTheme="majorEastAsia" w:eastAsiaTheme="majorEastAsia" w:cstheme="majorEastAsia"/>
                <w:color w:val="auto"/>
                <w:kern w:val="0"/>
                <w:sz w:val="21"/>
                <w:szCs w:val="21"/>
                <w:highlight w:val="none"/>
              </w:rPr>
            </w:pPr>
          </w:p>
          <w:p>
            <w:pPr>
              <w:pStyle w:val="11"/>
              <w:rPr>
                <w:rFonts w:hint="eastAsia" w:asciiTheme="majorEastAsia" w:hAnsiTheme="majorEastAsia" w:eastAsiaTheme="majorEastAsia" w:cstheme="majorEastAsia"/>
                <w:color w:val="auto"/>
                <w:sz w:val="21"/>
                <w:szCs w:val="21"/>
                <w:highlight w:val="none"/>
              </w:rPr>
            </w:pPr>
          </w:p>
        </w:tc>
      </w:tr>
    </w:tbl>
    <w:p>
      <w:pPr>
        <w:jc w:val="center"/>
        <w:rPr>
          <w:rFonts w:hint="eastAsia" w:ascii="宋体" w:hAnsi="宋体" w:eastAsia="宋体" w:cs="宋体"/>
          <w:b/>
          <w:bCs/>
          <w:sz w:val="32"/>
          <w:szCs w:val="32"/>
          <w:highlight w:val="none"/>
          <w:lang w:val="en-US" w:eastAsia="zh-CN"/>
        </w:rPr>
        <w:sectPr>
          <w:pgSz w:w="16838" w:h="11906" w:orient="landscape"/>
          <w:pgMar w:top="1800" w:right="1440" w:bottom="1800" w:left="1440" w:header="851" w:footer="992" w:gutter="0"/>
          <w:cols w:space="425" w:num="1"/>
          <w:docGrid w:type="lines" w:linePitch="312" w:charSpace="0"/>
        </w:sectPr>
      </w:pPr>
    </w:p>
    <w:p>
      <w:pPr>
        <w:ind w:left="0" w:leftChars="0" w:firstLine="0" w:firstLineChars="0"/>
        <w:jc w:val="center"/>
        <w:rPr>
          <w:rFonts w:hint="eastAsia" w:asciiTheme="majorEastAsia" w:hAnsiTheme="majorEastAsia" w:eastAsiaTheme="majorEastAsia" w:cstheme="majorEastAsia"/>
          <w:b/>
          <w:bCs/>
          <w:sz w:val="32"/>
          <w:szCs w:val="32"/>
          <w:highlight w:val="none"/>
          <w:lang w:val="en-US" w:eastAsia="zh-CN" w:bidi="ar-SA"/>
        </w:rPr>
      </w:pPr>
      <w:r>
        <w:rPr>
          <w:rFonts w:hint="eastAsia" w:asciiTheme="majorEastAsia" w:hAnsiTheme="majorEastAsia" w:eastAsiaTheme="majorEastAsia" w:cstheme="majorEastAsia"/>
          <w:b/>
          <w:bCs/>
          <w:highlight w:val="none"/>
          <w:lang w:val="en-US" w:eastAsia="zh-CN"/>
        </w:rPr>
        <w:t>4、</w:t>
      </w:r>
      <w:r>
        <w:rPr>
          <w:rFonts w:hint="eastAsia" w:asciiTheme="majorEastAsia" w:hAnsiTheme="majorEastAsia" w:eastAsiaTheme="majorEastAsia" w:cstheme="majorEastAsia"/>
          <w:b/>
          <w:bCs/>
          <w:highlight w:val="none"/>
        </w:rPr>
        <w:t>煤矿</w:t>
      </w:r>
      <w:r>
        <w:rPr>
          <w:rFonts w:hint="eastAsia" w:asciiTheme="majorEastAsia" w:hAnsiTheme="majorEastAsia" w:eastAsiaTheme="majorEastAsia" w:cstheme="majorEastAsia"/>
          <w:b/>
          <w:bCs/>
          <w:color w:val="FF0000"/>
          <w:highlight w:val="none"/>
        </w:rPr>
        <w:t>地质测量</w:t>
      </w:r>
      <w:r>
        <w:rPr>
          <w:rFonts w:hint="eastAsia" w:asciiTheme="majorEastAsia" w:hAnsiTheme="majorEastAsia" w:eastAsiaTheme="majorEastAsia" w:cstheme="majorEastAsia"/>
          <w:b/>
          <w:bCs/>
          <w:highlight w:val="none"/>
        </w:rPr>
        <w:t>标准化评分表</w:t>
      </w:r>
    </w:p>
    <w:tbl>
      <w:tblPr>
        <w:tblStyle w:val="8"/>
        <w:tblW w:w="138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129"/>
        <w:gridCol w:w="4500"/>
        <w:gridCol w:w="4500"/>
        <w:gridCol w:w="2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blHeader/>
          <w:jc w:val="center"/>
        </w:trPr>
        <w:tc>
          <w:tcPr>
            <w:tcW w:w="1065" w:type="dxa"/>
            <w:tcBorders>
              <w:tl2br w:val="nil"/>
              <w:tr2bl w:val="nil"/>
            </w:tcBorders>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center"/>
              <w:rPr>
                <w:rFonts w:hint="eastAsia" w:asciiTheme="majorEastAsia" w:hAnsiTheme="majorEastAsia" w:eastAsiaTheme="majorEastAsia" w:cstheme="majorEastAsia"/>
                <w:b/>
                <w:bCs/>
                <w:sz w:val="21"/>
                <w:szCs w:val="21"/>
                <w:highlight w:val="none"/>
              </w:rPr>
            </w:pPr>
            <w:r>
              <w:rPr>
                <w:rFonts w:hint="eastAsia" w:asciiTheme="majorEastAsia" w:hAnsiTheme="majorEastAsia" w:eastAsiaTheme="majorEastAsia" w:cstheme="majorEastAsia"/>
                <w:b/>
                <w:bCs/>
                <w:sz w:val="21"/>
                <w:szCs w:val="21"/>
                <w:highlight w:val="none"/>
              </w:rPr>
              <w:t>项目</w:t>
            </w:r>
          </w:p>
        </w:tc>
        <w:tc>
          <w:tcPr>
            <w:tcW w:w="1129" w:type="dxa"/>
            <w:tcBorders>
              <w:tl2br w:val="nil"/>
              <w:tr2bl w:val="nil"/>
            </w:tcBorders>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center"/>
              <w:rPr>
                <w:rFonts w:hint="eastAsia" w:asciiTheme="majorEastAsia" w:hAnsiTheme="majorEastAsia" w:eastAsiaTheme="majorEastAsia" w:cstheme="majorEastAsia"/>
                <w:b/>
                <w:bCs/>
                <w:sz w:val="21"/>
                <w:szCs w:val="21"/>
                <w:highlight w:val="none"/>
              </w:rPr>
            </w:pPr>
            <w:r>
              <w:rPr>
                <w:rFonts w:hint="eastAsia" w:asciiTheme="majorEastAsia" w:hAnsiTheme="majorEastAsia" w:eastAsiaTheme="majorEastAsia" w:cstheme="majorEastAsia"/>
                <w:b/>
                <w:bCs/>
                <w:sz w:val="21"/>
                <w:szCs w:val="21"/>
                <w:highlight w:val="none"/>
              </w:rPr>
              <w:t>项目内容</w:t>
            </w:r>
          </w:p>
        </w:tc>
        <w:tc>
          <w:tcPr>
            <w:tcW w:w="4500" w:type="dxa"/>
            <w:tcBorders>
              <w:tl2br w:val="nil"/>
              <w:tr2bl w:val="nil"/>
            </w:tcBorders>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center"/>
              <w:rPr>
                <w:rFonts w:hint="eastAsia" w:asciiTheme="majorEastAsia" w:hAnsiTheme="majorEastAsia" w:eastAsiaTheme="majorEastAsia" w:cstheme="majorEastAsia"/>
                <w:b/>
                <w:bCs/>
                <w:sz w:val="21"/>
                <w:szCs w:val="21"/>
                <w:highlight w:val="none"/>
              </w:rPr>
            </w:pPr>
            <w:r>
              <w:rPr>
                <w:rFonts w:hint="eastAsia" w:asciiTheme="majorEastAsia" w:hAnsiTheme="majorEastAsia" w:eastAsiaTheme="majorEastAsia" w:cstheme="majorEastAsia"/>
                <w:b/>
                <w:bCs/>
                <w:sz w:val="21"/>
                <w:szCs w:val="21"/>
                <w:highlight w:val="none"/>
                <w:lang w:val="en-US" w:eastAsia="zh-CN"/>
              </w:rPr>
              <w:t>2024版</w:t>
            </w:r>
            <w:r>
              <w:rPr>
                <w:rFonts w:hint="eastAsia" w:asciiTheme="majorEastAsia" w:hAnsiTheme="majorEastAsia" w:eastAsiaTheme="majorEastAsia" w:cstheme="majorEastAsia"/>
                <w:b/>
                <w:bCs/>
                <w:sz w:val="21"/>
                <w:szCs w:val="21"/>
                <w:highlight w:val="none"/>
              </w:rPr>
              <w:t>基本要求</w:t>
            </w:r>
          </w:p>
        </w:tc>
        <w:tc>
          <w:tcPr>
            <w:tcW w:w="4500" w:type="dxa"/>
            <w:tcBorders>
              <w:tl2br w:val="nil"/>
              <w:tr2bl w:val="nil"/>
            </w:tcBorders>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center"/>
              <w:rPr>
                <w:rFonts w:hint="eastAsia" w:asciiTheme="majorEastAsia" w:hAnsiTheme="majorEastAsia" w:eastAsiaTheme="majorEastAsia" w:cstheme="majorEastAsia"/>
                <w:b/>
                <w:bCs/>
                <w:sz w:val="21"/>
                <w:szCs w:val="21"/>
                <w:highlight w:val="none"/>
                <w:lang w:val="en-US" w:eastAsia="zh-CN"/>
              </w:rPr>
            </w:pPr>
            <w:r>
              <w:rPr>
                <w:rFonts w:hint="eastAsia" w:asciiTheme="majorEastAsia" w:hAnsiTheme="majorEastAsia" w:eastAsiaTheme="majorEastAsia" w:cstheme="majorEastAsia"/>
                <w:b/>
                <w:bCs/>
                <w:sz w:val="21"/>
                <w:szCs w:val="21"/>
                <w:highlight w:val="none"/>
                <w:lang w:val="en-US" w:eastAsia="zh-CN"/>
              </w:rPr>
              <w:t>2020版基本要求</w:t>
            </w:r>
          </w:p>
        </w:tc>
        <w:tc>
          <w:tcPr>
            <w:tcW w:w="2697" w:type="dxa"/>
            <w:tcBorders>
              <w:tl2br w:val="nil"/>
              <w:tr2bl w:val="nil"/>
            </w:tcBorders>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center"/>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8" w:hRule="atLeast"/>
          <w:jc w:val="center"/>
        </w:trPr>
        <w:tc>
          <w:tcPr>
            <w:tcW w:w="1065" w:type="dxa"/>
            <w:vMerge w:val="restart"/>
            <w:tcBorders>
              <w:tl2br w:val="nil"/>
              <w:tr2bl w:val="nil"/>
            </w:tcBorders>
            <w:textDirection w:val="tbRlV"/>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一、基础管理（35分）</w:t>
            </w:r>
          </w:p>
        </w:tc>
        <w:tc>
          <w:tcPr>
            <w:tcW w:w="112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制度</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建设</w:t>
            </w:r>
          </w:p>
        </w:tc>
        <w:tc>
          <w:tcPr>
            <w:tcW w:w="450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建立地质测量管理制度，内容包括预测预报、地质测量管理、资料档案管理等</w:t>
            </w:r>
          </w:p>
        </w:tc>
        <w:tc>
          <w:tcPr>
            <w:tcW w:w="450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建立以下制度：</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1.地质灾害防治技术管理制度；</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2.预测预报制度；</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3.地测安全办公会议制度；</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4.地测资料、技术报告审批制度；</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5.图纸的审批、发放、回收和销毁制度；</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6.资料收集、整理、定期分析、保管、提供制度；</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7.隐蔽致灾地质因素普查制度；</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8.应急处置制度</w:t>
            </w:r>
          </w:p>
        </w:tc>
        <w:tc>
          <w:tcPr>
            <w:tcW w:w="269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jc w:val="center"/>
        </w:trPr>
        <w:tc>
          <w:tcPr>
            <w:tcW w:w="1065" w:type="dxa"/>
            <w:vMerge w:val="continue"/>
            <w:tcBorders>
              <w:tl2br w:val="nil"/>
              <w:tr2bl w:val="nil"/>
            </w:tcBorders>
            <w:textDirection w:val="tbRlV"/>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p>
        </w:tc>
        <w:tc>
          <w:tcPr>
            <w:tcW w:w="1129"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职工素质及岗位规范</w:t>
            </w:r>
          </w:p>
        </w:tc>
        <w:tc>
          <w:tcPr>
            <w:tcW w:w="450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p>
        </w:tc>
        <w:tc>
          <w:tcPr>
            <w:tcW w:w="450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color w:val="FF0000"/>
                <w:kern w:val="0"/>
                <w:sz w:val="21"/>
                <w:szCs w:val="21"/>
                <w:highlight w:val="none"/>
              </w:rPr>
            </w:pPr>
            <w:r>
              <w:rPr>
                <w:rFonts w:hint="eastAsia" w:asciiTheme="majorEastAsia" w:hAnsiTheme="majorEastAsia" w:eastAsiaTheme="majorEastAsia" w:cstheme="majorEastAsia"/>
                <w:color w:val="FF0000"/>
                <w:kern w:val="0"/>
                <w:sz w:val="21"/>
                <w:szCs w:val="21"/>
                <w:highlight w:val="none"/>
              </w:rPr>
              <w:t>区（队）管理和技术人员掌握相关的岗位职责、管理制度、技术措施</w:t>
            </w:r>
          </w:p>
        </w:tc>
        <w:tc>
          <w:tcPr>
            <w:tcW w:w="269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新版删除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5" w:hRule="atLeast"/>
          <w:jc w:val="center"/>
        </w:trPr>
        <w:tc>
          <w:tcPr>
            <w:tcW w:w="1065" w:type="dxa"/>
            <w:vMerge w:val="continue"/>
            <w:tcBorders>
              <w:tl2br w:val="nil"/>
              <w:tr2bl w:val="nil"/>
            </w:tcBorders>
            <w:textDirection w:val="tbRlV"/>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p>
        </w:tc>
        <w:tc>
          <w:tcPr>
            <w:tcW w:w="112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p>
        </w:tc>
        <w:tc>
          <w:tcPr>
            <w:tcW w:w="450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p>
        </w:tc>
        <w:tc>
          <w:tcPr>
            <w:tcW w:w="450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color w:val="FF0000"/>
                <w:kern w:val="0"/>
                <w:sz w:val="21"/>
                <w:szCs w:val="21"/>
                <w:highlight w:val="none"/>
              </w:rPr>
            </w:pPr>
            <w:r>
              <w:rPr>
                <w:rFonts w:hint="eastAsia" w:asciiTheme="majorEastAsia" w:hAnsiTheme="majorEastAsia" w:eastAsiaTheme="majorEastAsia" w:cstheme="majorEastAsia"/>
                <w:color w:val="FF0000"/>
                <w:kern w:val="0"/>
                <w:sz w:val="21"/>
                <w:szCs w:val="21"/>
                <w:highlight w:val="none"/>
              </w:rPr>
              <w:t>班组长及现场作业人员严格执行本岗位安全生产责任制；掌握本岗位相应的操作规程、安全措施；规范操作，无“三违”行为；作业前进行岗位安全风险辨识及安全确认</w:t>
            </w:r>
          </w:p>
        </w:tc>
        <w:tc>
          <w:tcPr>
            <w:tcW w:w="269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新版删除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jc w:val="center"/>
        </w:trPr>
        <w:tc>
          <w:tcPr>
            <w:tcW w:w="1065" w:type="dxa"/>
            <w:vMerge w:val="continue"/>
            <w:tcBorders>
              <w:tl2br w:val="nil"/>
              <w:tr2bl w:val="nil"/>
            </w:tcBorders>
            <w:textDirection w:val="tbRlV"/>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p>
        </w:tc>
        <w:tc>
          <w:tcPr>
            <w:tcW w:w="112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地质报告</w:t>
            </w:r>
          </w:p>
        </w:tc>
        <w:tc>
          <w:tcPr>
            <w:tcW w:w="450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按规定编制煤矿生产地质报告、煤矿地质类型划分报告，并按要求审批</w:t>
            </w:r>
          </w:p>
        </w:tc>
        <w:tc>
          <w:tcPr>
            <w:tcW w:w="450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按规定编制满足不同生产阶段需求的地质报告，按期修编，并按要求审批</w:t>
            </w:r>
          </w:p>
        </w:tc>
        <w:tc>
          <w:tcPr>
            <w:tcW w:w="269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2" w:hRule="atLeast"/>
          <w:jc w:val="center"/>
        </w:trPr>
        <w:tc>
          <w:tcPr>
            <w:tcW w:w="1065" w:type="dxa"/>
            <w:vMerge w:val="continue"/>
            <w:tcBorders>
              <w:tl2br w:val="nil"/>
              <w:tr2bl w:val="nil"/>
            </w:tcBorders>
            <w:textDirection w:val="tbRlV"/>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p>
        </w:tc>
        <w:tc>
          <w:tcPr>
            <w:tcW w:w="112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图纸台账管理</w:t>
            </w:r>
          </w:p>
        </w:tc>
        <w:tc>
          <w:tcPr>
            <w:tcW w:w="450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有地层综合柱状图，可采煤层底板等高线及资源储量估算图（急倾斜煤层加绘立面投影图和立面投影资源储量估算图），地形地质图、地质剖面图，勘探钻孔柱状图，瓦斯地质图，井上下对照图，采掘工程平面图（急倾斜煤层要绘采掘工程立面图），综合水文地质图，综合水文地质柱状图，水文地质剖面图，充水性图，涌水量与相关因素动态曲线图，防治水“三区”管理图；</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b/>
                <w:kern w:val="0"/>
                <w:sz w:val="21"/>
                <w:szCs w:val="21"/>
                <w:highlight w:val="none"/>
              </w:rPr>
            </w:pPr>
            <w:r>
              <w:rPr>
                <w:rFonts w:hint="eastAsia" w:asciiTheme="majorEastAsia" w:hAnsiTheme="majorEastAsia" w:eastAsiaTheme="majorEastAsia" w:cstheme="majorEastAsia"/>
                <w:kern w:val="0"/>
                <w:sz w:val="21"/>
                <w:szCs w:val="21"/>
                <w:highlight w:val="none"/>
              </w:rPr>
              <w:t>2.建立《煤矿防治水细则》《煤矿地质工作细则》《煤矿测量规程》规定的台账</w:t>
            </w:r>
          </w:p>
        </w:tc>
        <w:tc>
          <w:tcPr>
            <w:tcW w:w="450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1.按《煤矿地质工作规定》要求整理编制必备的地质台账、地质图件等地质基础资料；</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2.地质图件内容符合《煤矿地质测量图技术管理规定》及其补充规定要求，图种齐全有电子文档；</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lang w:eastAsia="zh-CN"/>
              </w:rPr>
            </w:pPr>
            <w:r>
              <w:rPr>
                <w:rFonts w:hint="eastAsia" w:asciiTheme="majorEastAsia" w:hAnsiTheme="majorEastAsia" w:eastAsiaTheme="majorEastAsia" w:cstheme="majorEastAsia"/>
                <w:kern w:val="0"/>
                <w:sz w:val="21"/>
                <w:szCs w:val="21"/>
                <w:highlight w:val="none"/>
              </w:rPr>
              <w:t>3.各项综合分析成果能满足安全生产工作需要</w:t>
            </w:r>
            <w:r>
              <w:rPr>
                <w:rFonts w:hint="eastAsia" w:asciiTheme="majorEastAsia" w:hAnsiTheme="majorEastAsia" w:eastAsiaTheme="majorEastAsia" w:cstheme="majorEastAsia"/>
                <w:kern w:val="0"/>
                <w:sz w:val="21"/>
                <w:szCs w:val="21"/>
                <w:highlight w:val="none"/>
                <w:lang w:eastAsia="zh-CN"/>
              </w:rPr>
              <w:t>。</w:t>
            </w:r>
          </w:p>
          <w:p>
            <w:pPr>
              <w:pStyle w:val="11"/>
              <w:bidi w:val="0"/>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rPr>
              <w:t>有符合《矿山储量动态管理要求》规定的各种图纸，内容符合储量、损失量计算图要求</w:t>
            </w:r>
            <w:r>
              <w:rPr>
                <w:rFonts w:hint="eastAsia" w:asciiTheme="majorEastAsia" w:hAnsiTheme="majorEastAsia" w:eastAsiaTheme="majorEastAsia" w:cstheme="majorEastAsia"/>
                <w:sz w:val="21"/>
                <w:szCs w:val="21"/>
                <w:highlight w:val="none"/>
                <w:lang w:eastAsia="zh-CN"/>
              </w:rPr>
              <w:t>。</w:t>
            </w:r>
          </w:p>
          <w:p>
            <w:pPr>
              <w:pStyle w:val="11"/>
              <w:bidi w:val="0"/>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有符合《矿山储量动态管理要求》规定的储量计算台账和损失量计算台账，种类齐全、填写及时、准确，有电子文档</w:t>
            </w:r>
          </w:p>
          <w:p>
            <w:pPr>
              <w:pStyle w:val="11"/>
              <w:bidi w:val="0"/>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rPr>
              <w:t>有采掘工程平面图、工业广场平面图、井上下对照图、井底车场图、井田区域地形图、保安煤柱图、井筒断面图、主要巷道平面图等《煤矿测量规程》规定的基本矿图</w:t>
            </w:r>
            <w:r>
              <w:rPr>
                <w:rFonts w:hint="eastAsia" w:asciiTheme="majorEastAsia" w:hAnsiTheme="majorEastAsia" w:eastAsiaTheme="majorEastAsia" w:cstheme="majorEastAsia"/>
                <w:sz w:val="21"/>
                <w:szCs w:val="21"/>
                <w:highlight w:val="none"/>
                <w:lang w:eastAsia="zh-CN"/>
              </w:rPr>
              <w:t>。</w:t>
            </w:r>
          </w:p>
        </w:tc>
        <w:tc>
          <w:tcPr>
            <w:tcW w:w="269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jc w:val="center"/>
        </w:trPr>
        <w:tc>
          <w:tcPr>
            <w:tcW w:w="1065" w:type="dxa"/>
            <w:vMerge w:val="continue"/>
            <w:tcBorders>
              <w:tl2br w:val="nil"/>
              <w:tr2bl w:val="nil"/>
            </w:tcBorders>
            <w:textDirection w:val="tbRlV"/>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p>
        </w:tc>
        <w:tc>
          <w:tcPr>
            <w:tcW w:w="112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原始记录</w:t>
            </w:r>
          </w:p>
        </w:tc>
        <w:tc>
          <w:tcPr>
            <w:tcW w:w="450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地质、测量的观测、描述应在现场进行，并记录在专门的记录簿上，记录簿统一编号保存</w:t>
            </w:r>
          </w:p>
        </w:tc>
        <w:tc>
          <w:tcPr>
            <w:tcW w:w="450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1.有专用原始记录本，分档按时间顺序保存；</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2.记录内容齐全，字迹、草图清楚</w:t>
            </w:r>
          </w:p>
        </w:tc>
        <w:tc>
          <w:tcPr>
            <w:tcW w:w="269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8" w:hRule="atLeast"/>
          <w:jc w:val="center"/>
        </w:trPr>
        <w:tc>
          <w:tcPr>
            <w:tcW w:w="1065" w:type="dxa"/>
            <w:vMerge w:val="continue"/>
            <w:tcBorders>
              <w:tl2br w:val="nil"/>
              <w:tr2bl w:val="nil"/>
            </w:tcBorders>
            <w:textDirection w:val="tbRlV"/>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p>
        </w:tc>
        <w:tc>
          <w:tcPr>
            <w:tcW w:w="112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资料</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存档</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管理</w:t>
            </w:r>
          </w:p>
        </w:tc>
        <w:tc>
          <w:tcPr>
            <w:tcW w:w="450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图纸、资料、文件等分类保管，建立纸质和电子目录索引、借阅记录台账，存档管理，电子文档至少每半年备份1次</w:t>
            </w:r>
          </w:p>
        </w:tc>
        <w:tc>
          <w:tcPr>
            <w:tcW w:w="450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图纸、资料、文件等分类保管，建立纸质或电子目录索引、借阅记录台账，存档管理，电子文档至少每半年备份1次</w:t>
            </w:r>
          </w:p>
        </w:tc>
        <w:tc>
          <w:tcPr>
            <w:tcW w:w="269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jc w:val="center"/>
        </w:trPr>
        <w:tc>
          <w:tcPr>
            <w:tcW w:w="1065" w:type="dxa"/>
            <w:vMerge w:val="continue"/>
            <w:tcBorders>
              <w:tl2br w:val="nil"/>
              <w:tr2bl w:val="nil"/>
            </w:tcBorders>
            <w:textDirection w:val="tbRlV"/>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p>
        </w:tc>
        <w:tc>
          <w:tcPr>
            <w:tcW w:w="112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装备管理</w:t>
            </w:r>
          </w:p>
        </w:tc>
        <w:tc>
          <w:tcPr>
            <w:tcW w:w="450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1.配置必要装备，规格及数量满足规定和工作需要；</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color w:val="00B0F0"/>
                <w:kern w:val="0"/>
                <w:sz w:val="21"/>
                <w:szCs w:val="21"/>
                <w:highlight w:val="none"/>
              </w:rPr>
            </w:pPr>
            <w:r>
              <w:rPr>
                <w:rFonts w:hint="eastAsia" w:asciiTheme="majorEastAsia" w:hAnsiTheme="majorEastAsia" w:eastAsiaTheme="majorEastAsia" w:cstheme="majorEastAsia"/>
                <w:color w:val="00B0F0"/>
                <w:kern w:val="0"/>
                <w:sz w:val="21"/>
                <w:szCs w:val="21"/>
                <w:highlight w:val="none"/>
              </w:rPr>
              <w:t>2.建立健全地质信息数据库，每季度至少更新1次；</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3.地测防治水仪器定期校检并建立台账</w:t>
            </w:r>
          </w:p>
        </w:tc>
        <w:tc>
          <w:tcPr>
            <w:tcW w:w="450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1.工器具装备完好，满足规定和工作需要；</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2.至少各有1种为煤矿地质和水文地质工作服务的物探装备；</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3.采用计算机制图；</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4.地测信息系统与上级公司联网并能正常使用</w:t>
            </w:r>
          </w:p>
        </w:tc>
        <w:tc>
          <w:tcPr>
            <w:tcW w:w="269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增加</w:t>
            </w:r>
            <w:r>
              <w:rPr>
                <w:rFonts w:hint="eastAsia" w:asciiTheme="majorEastAsia" w:hAnsiTheme="majorEastAsia" w:eastAsiaTheme="majorEastAsia" w:cstheme="majorEastAsia"/>
                <w:color w:val="auto"/>
                <w:kern w:val="0"/>
                <w:sz w:val="21"/>
                <w:szCs w:val="21"/>
                <w:highlight w:val="none"/>
              </w:rPr>
              <w:t>地质信息数据库，每季度至少更新1次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jc w:val="center"/>
        </w:trPr>
        <w:tc>
          <w:tcPr>
            <w:tcW w:w="1065" w:type="dxa"/>
            <w:vMerge w:val="restart"/>
            <w:tcBorders>
              <w:tl2br w:val="nil"/>
              <w:tr2bl w:val="nil"/>
            </w:tcBorders>
            <w:textDirection w:val="tbRlV"/>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二、地质管理（35分）</w:t>
            </w:r>
          </w:p>
        </w:tc>
        <w:tc>
          <w:tcPr>
            <w:tcW w:w="112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地质观测与分析</w:t>
            </w:r>
          </w:p>
        </w:tc>
        <w:tc>
          <w:tcPr>
            <w:tcW w:w="450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1.煤层、断层、褶曲、陷落柱、沉积岩、岩浆岩等地质观测及地质资料编录符合《煤矿地质工作细则》要求；</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2.跟踪地质变化，进行地质分析，及时提供分析成果及相关图件，满足生产需要</w:t>
            </w:r>
          </w:p>
        </w:tc>
        <w:tc>
          <w:tcPr>
            <w:tcW w:w="450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1.按《煤矿地质工作规定》要求进行地质观测与资料编录；</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2.跟踪地质变化，进行地质分析，及时提供分析成果及相关图件</w:t>
            </w:r>
          </w:p>
        </w:tc>
        <w:tc>
          <w:tcPr>
            <w:tcW w:w="269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8" w:hRule="atLeast"/>
          <w:jc w:val="center"/>
        </w:trPr>
        <w:tc>
          <w:tcPr>
            <w:tcW w:w="10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p>
        </w:tc>
        <w:tc>
          <w:tcPr>
            <w:tcW w:w="112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地质勘探及井下地质探测</w:t>
            </w:r>
          </w:p>
        </w:tc>
        <w:tc>
          <w:tcPr>
            <w:tcW w:w="450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1.井上下钻探、物探、化探工程有经过批准的设计、有成果和总结报告；</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color w:val="00B0F0"/>
                <w:kern w:val="0"/>
                <w:sz w:val="21"/>
                <w:szCs w:val="21"/>
                <w:highlight w:val="none"/>
              </w:rPr>
            </w:pPr>
            <w:r>
              <w:rPr>
                <w:rFonts w:hint="eastAsia" w:asciiTheme="majorEastAsia" w:hAnsiTheme="majorEastAsia" w:eastAsiaTheme="majorEastAsia" w:cstheme="majorEastAsia"/>
                <w:color w:val="00B0F0"/>
                <w:kern w:val="0"/>
                <w:sz w:val="21"/>
                <w:szCs w:val="21"/>
                <w:highlight w:val="none"/>
              </w:rPr>
              <w:t>2.有突出危险煤层的矿井，开拓新水平的井巷第一次揭穿（开）厚度为0.3m及以上煤层时，必须超前探测煤层厚度及地质构造；</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3.石门、立井、斜井和平硐等井巷揭煤前，应采用物探、钻探等手段综合探测煤层厚度、地质构造、瓦斯、水文地质及顶底板等地质条件并编制揭煤地质说明书；</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color w:val="00B0F0"/>
                <w:kern w:val="0"/>
                <w:sz w:val="21"/>
                <w:szCs w:val="21"/>
                <w:highlight w:val="none"/>
              </w:rPr>
            </w:pPr>
            <w:r>
              <w:rPr>
                <w:rFonts w:hint="eastAsia" w:asciiTheme="majorEastAsia" w:hAnsiTheme="majorEastAsia" w:eastAsiaTheme="majorEastAsia" w:cstheme="majorEastAsia"/>
                <w:color w:val="00B0F0"/>
                <w:kern w:val="0"/>
                <w:sz w:val="21"/>
                <w:szCs w:val="21"/>
                <w:highlight w:val="none"/>
              </w:rPr>
              <w:t>4.在突出煤层顶、底板掘进岩巷时，必须超前探测煤层及地质构造。当巷道距离突出煤层的最小法向距离小于10m时（在地质构造破坏带小于20m时），执行先探后掘；</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5.回采工作面形成后，应开展补充地质探查工作；</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color w:val="00B0F0"/>
                <w:kern w:val="0"/>
                <w:sz w:val="21"/>
                <w:szCs w:val="21"/>
                <w:highlight w:val="none"/>
              </w:rPr>
              <w:t>6.当巷道不能揭露煤层全厚时，按规定的间距探测煤层全厚</w:t>
            </w:r>
          </w:p>
        </w:tc>
        <w:tc>
          <w:tcPr>
            <w:tcW w:w="450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1.井上下钻探、物探、化探工程应有设计、有成果和总结报告；</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2.按规定开展煤矿地质补充调查与勘探；</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3.按规定针对性地开展综合勘查与分析研究，编制研究报告</w:t>
            </w:r>
          </w:p>
        </w:tc>
        <w:tc>
          <w:tcPr>
            <w:tcW w:w="269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新增探测煤层的要求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0" w:hRule="atLeast"/>
          <w:jc w:val="center"/>
        </w:trPr>
        <w:tc>
          <w:tcPr>
            <w:tcW w:w="10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p>
        </w:tc>
        <w:tc>
          <w:tcPr>
            <w:tcW w:w="112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地质说明书及采后总结</w:t>
            </w:r>
          </w:p>
        </w:tc>
        <w:tc>
          <w:tcPr>
            <w:tcW w:w="450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1.按规定提交、审批采区地质说明书、掘进工作面地质说明书、回采工作面地质说明书；</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color w:val="00B0F0"/>
                <w:kern w:val="0"/>
                <w:sz w:val="21"/>
                <w:szCs w:val="21"/>
                <w:highlight w:val="none"/>
              </w:rPr>
            </w:pPr>
            <w:r>
              <w:rPr>
                <w:rFonts w:hint="eastAsia" w:asciiTheme="majorEastAsia" w:hAnsiTheme="majorEastAsia" w:eastAsiaTheme="majorEastAsia" w:cstheme="majorEastAsia"/>
                <w:color w:val="00B0F0"/>
                <w:kern w:val="0"/>
                <w:sz w:val="21"/>
                <w:szCs w:val="21"/>
                <w:highlight w:val="none"/>
              </w:rPr>
              <w:t>2.揭煤工作面距待揭煤层最小法距10m前或揭煤巷道开口前（在地质构造复杂、岩石破碎的区域法距20m前），编写揭煤地质说明书，由煤矿总工程师审批；</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3.工作面回采结束后，</w:t>
            </w:r>
            <w:r>
              <w:rPr>
                <w:rFonts w:hint="eastAsia" w:asciiTheme="majorEastAsia" w:hAnsiTheme="majorEastAsia" w:eastAsiaTheme="majorEastAsia" w:cstheme="majorEastAsia"/>
                <w:color w:val="00B0F0"/>
                <w:kern w:val="0"/>
                <w:sz w:val="21"/>
                <w:szCs w:val="21"/>
                <w:highlight w:val="none"/>
              </w:rPr>
              <w:t>30日内</w:t>
            </w:r>
            <w:r>
              <w:rPr>
                <w:rFonts w:hint="eastAsia" w:asciiTheme="majorEastAsia" w:hAnsiTheme="majorEastAsia" w:eastAsiaTheme="majorEastAsia" w:cstheme="majorEastAsia"/>
                <w:kern w:val="0"/>
                <w:sz w:val="21"/>
                <w:szCs w:val="21"/>
                <w:highlight w:val="none"/>
              </w:rPr>
              <w:t>提出采后地质总结报告，采区开采结束后</w:t>
            </w:r>
            <w:r>
              <w:rPr>
                <w:rFonts w:hint="eastAsia" w:asciiTheme="majorEastAsia" w:hAnsiTheme="majorEastAsia" w:eastAsiaTheme="majorEastAsia" w:cstheme="majorEastAsia"/>
                <w:color w:val="00B0F0"/>
                <w:kern w:val="0"/>
                <w:sz w:val="21"/>
                <w:szCs w:val="21"/>
                <w:highlight w:val="none"/>
              </w:rPr>
              <w:t>6个月内</w:t>
            </w:r>
            <w:r>
              <w:rPr>
                <w:rFonts w:hint="eastAsia" w:asciiTheme="majorEastAsia" w:hAnsiTheme="majorEastAsia" w:eastAsiaTheme="majorEastAsia" w:cstheme="majorEastAsia"/>
                <w:kern w:val="0"/>
                <w:sz w:val="21"/>
                <w:szCs w:val="21"/>
                <w:highlight w:val="none"/>
              </w:rPr>
              <w:t>，提出采区地质总结报告，报煤矿总工程师审批</w:t>
            </w:r>
          </w:p>
        </w:tc>
        <w:tc>
          <w:tcPr>
            <w:tcW w:w="450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1.采掘工程设计或施工前，按时提交由总工程师批准的采区地质说明书、采煤工作面地质说明书、掘进工作面地质说明书；</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2.井巷揭煤前，探明煤层厚度、构造、瓦斯地质、水文地质及顶底板岩性等地质条件，编制揭煤地质说明书；</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3.采区和采煤工作面结束后，按规定编制采后总结</w:t>
            </w:r>
          </w:p>
        </w:tc>
        <w:tc>
          <w:tcPr>
            <w:tcW w:w="269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新增揭煤地质说明书及工作面和采取回采总结报告的编制时间要求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47" w:hRule="atLeast"/>
          <w:jc w:val="center"/>
        </w:trPr>
        <w:tc>
          <w:tcPr>
            <w:tcW w:w="1065" w:type="dxa"/>
            <w:vMerge w:val="continue"/>
            <w:tcBorders>
              <w:tl2br w:val="nil"/>
              <w:tr2bl w:val="nil"/>
            </w:tcBorders>
            <w:textDirection w:val="tbRlV"/>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p>
        </w:tc>
        <w:tc>
          <w:tcPr>
            <w:tcW w:w="112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地质预报、水害预报</w:t>
            </w:r>
          </w:p>
        </w:tc>
        <w:tc>
          <w:tcPr>
            <w:tcW w:w="450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1.地质预报应有年报、月报和临时性预报，预报与实际出入较大时，应分析原因，采取措施；</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2.突出矿井，采掘工作面距未保护区边缘50m前，及时编制发放临近未保护区通知单；</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3.水害预报内容符合《煤矿防治水细则》要求，内容齐全，有年报、月报和临时性预报，应包含突水危险性评价和水害处理意见等内容</w:t>
            </w:r>
          </w:p>
        </w:tc>
        <w:tc>
          <w:tcPr>
            <w:tcW w:w="450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地质预报内容符合《煤矿地质工作规定》要求，内容齐全，有年报、月报和临时性预报，并以年为单位装订成册，归档保存</w:t>
            </w:r>
          </w:p>
        </w:tc>
        <w:tc>
          <w:tcPr>
            <w:tcW w:w="269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8" w:hRule="atLeast"/>
          <w:jc w:val="center"/>
        </w:trPr>
        <w:tc>
          <w:tcPr>
            <w:tcW w:w="1065" w:type="dxa"/>
            <w:vMerge w:val="restart"/>
            <w:tcBorders>
              <w:tl2br w:val="nil"/>
              <w:tr2bl w:val="nil"/>
            </w:tcBorders>
            <w:textDirection w:val="tbRlV"/>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三、测量管理（20分）</w:t>
            </w:r>
          </w:p>
        </w:tc>
        <w:tc>
          <w:tcPr>
            <w:tcW w:w="1129" w:type="dxa"/>
            <w:tcBorders>
              <w:tl2br w:val="nil"/>
              <w:tr2bl w:val="nil"/>
            </w:tcBorders>
            <w:textDirection w:val="tbRlV"/>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控制系统</w:t>
            </w:r>
          </w:p>
        </w:tc>
        <w:tc>
          <w:tcPr>
            <w:tcW w:w="4500"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sz w:val="21"/>
                <w:szCs w:val="21"/>
                <w:highlight w:val="none"/>
                <w:lang w:val="en-US" w:eastAsia="zh-CN" w:bidi="ar-SA"/>
              </w:rPr>
            </w:pPr>
            <w:r>
              <w:rPr>
                <w:rFonts w:hint="eastAsia" w:asciiTheme="majorEastAsia" w:hAnsiTheme="majorEastAsia" w:eastAsiaTheme="majorEastAsia" w:cstheme="majorEastAsia"/>
                <w:sz w:val="21"/>
                <w:szCs w:val="21"/>
                <w:highlight w:val="none"/>
                <w:lang w:val="en-US" w:eastAsia="zh-CN" w:bidi="ar-SA"/>
              </w:rPr>
              <w:t>1.测量控制系统健全，精度符合《煤矿测量规程》要求；</w:t>
            </w:r>
          </w:p>
          <w:p>
            <w:pPr>
              <w:keepNext w:val="0"/>
              <w:keepLines w:val="0"/>
              <w:pageBreakBefore w:val="0"/>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sz w:val="21"/>
                <w:szCs w:val="21"/>
                <w:highlight w:val="none"/>
                <w:lang w:val="en-US" w:eastAsia="zh-CN" w:bidi="ar-SA"/>
              </w:rPr>
            </w:pPr>
            <w:r>
              <w:rPr>
                <w:rFonts w:hint="eastAsia" w:asciiTheme="majorEastAsia" w:hAnsiTheme="majorEastAsia" w:eastAsiaTheme="majorEastAsia" w:cstheme="majorEastAsia"/>
                <w:sz w:val="21"/>
                <w:szCs w:val="21"/>
                <w:highlight w:val="none"/>
                <w:lang w:val="en-US" w:eastAsia="zh-CN" w:bidi="ar-SA"/>
              </w:rPr>
              <w:t>2.及时延长井下基本控制导线和采区控制导线，</w:t>
            </w:r>
            <w:r>
              <w:rPr>
                <w:rFonts w:hint="eastAsia" w:asciiTheme="majorEastAsia" w:hAnsiTheme="majorEastAsia" w:eastAsiaTheme="majorEastAsia" w:cstheme="majorEastAsia"/>
                <w:color w:val="00B0F0"/>
                <w:sz w:val="21"/>
                <w:szCs w:val="21"/>
                <w:highlight w:val="none"/>
                <w:lang w:val="en-US" w:eastAsia="zh-CN" w:bidi="ar-SA"/>
              </w:rPr>
              <w:t>基本控制导线应每隔300~500m延长一次，采区控制导线应随巷道掘进30~100m延长一次</w:t>
            </w:r>
          </w:p>
        </w:tc>
        <w:tc>
          <w:tcPr>
            <w:tcW w:w="4500"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sz w:val="21"/>
                <w:szCs w:val="21"/>
                <w:highlight w:val="none"/>
                <w:lang w:val="en-US" w:eastAsia="zh-CN" w:bidi="ar-SA"/>
              </w:rPr>
            </w:pPr>
            <w:r>
              <w:rPr>
                <w:rFonts w:hint="eastAsia" w:asciiTheme="majorEastAsia" w:hAnsiTheme="majorEastAsia" w:eastAsiaTheme="majorEastAsia" w:cstheme="majorEastAsia"/>
                <w:sz w:val="21"/>
                <w:szCs w:val="21"/>
                <w:highlight w:val="none"/>
                <w:lang w:val="en-US" w:eastAsia="zh-CN" w:bidi="ar-SA"/>
              </w:rPr>
              <w:t>1.测量控制系统健全，精度符合《煤矿测量规程》要求；</w:t>
            </w:r>
          </w:p>
          <w:p>
            <w:pPr>
              <w:keepNext w:val="0"/>
              <w:keepLines w:val="0"/>
              <w:pageBreakBefore w:val="0"/>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sz w:val="21"/>
                <w:szCs w:val="21"/>
                <w:highlight w:val="none"/>
                <w:lang w:val="en-US" w:eastAsia="zh-CN" w:bidi="ar-SA"/>
              </w:rPr>
            </w:pPr>
            <w:r>
              <w:rPr>
                <w:rFonts w:hint="eastAsia" w:asciiTheme="majorEastAsia" w:hAnsiTheme="majorEastAsia" w:eastAsiaTheme="majorEastAsia" w:cstheme="majorEastAsia"/>
                <w:sz w:val="21"/>
                <w:szCs w:val="21"/>
                <w:highlight w:val="none"/>
                <w:lang w:val="en-US" w:eastAsia="zh-CN" w:bidi="ar-SA"/>
              </w:rPr>
              <w:t>2.及时延长井下基本控制导线和采区控制导线</w:t>
            </w:r>
          </w:p>
        </w:tc>
        <w:tc>
          <w:tcPr>
            <w:tcW w:w="2697"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color w:val="auto"/>
                <w:sz w:val="21"/>
                <w:szCs w:val="21"/>
                <w:highlight w:val="none"/>
                <w:lang w:val="en-US" w:eastAsia="zh-CN" w:bidi="ar-SA"/>
              </w:rPr>
            </w:pPr>
            <w:r>
              <w:rPr>
                <w:rFonts w:hint="eastAsia" w:asciiTheme="majorEastAsia" w:hAnsiTheme="majorEastAsia" w:eastAsiaTheme="majorEastAsia" w:cstheme="majorEastAsia"/>
                <w:color w:val="auto"/>
                <w:sz w:val="21"/>
                <w:szCs w:val="21"/>
                <w:highlight w:val="none"/>
                <w:lang w:val="en-US" w:eastAsia="zh-CN" w:bidi="ar-SA"/>
              </w:rPr>
              <w:t>新增导线控制要求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3" w:hRule="atLeast"/>
          <w:jc w:val="center"/>
        </w:trPr>
        <w:tc>
          <w:tcPr>
            <w:tcW w:w="10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tLeast"/>
              <w:ind w:firstLine="0" w:firstLineChars="0"/>
              <w:jc w:val="left"/>
              <w:rPr>
                <w:rFonts w:hint="eastAsia" w:asciiTheme="majorEastAsia" w:hAnsiTheme="majorEastAsia" w:eastAsiaTheme="majorEastAsia" w:cstheme="majorEastAsia"/>
                <w:kern w:val="0"/>
                <w:sz w:val="21"/>
                <w:szCs w:val="21"/>
                <w:highlight w:val="none"/>
              </w:rPr>
            </w:pPr>
          </w:p>
        </w:tc>
        <w:tc>
          <w:tcPr>
            <w:tcW w:w="1129" w:type="dxa"/>
            <w:tcBorders>
              <w:tl2br w:val="nil"/>
              <w:tr2bl w:val="nil"/>
            </w:tcBorders>
            <w:textDirection w:val="tbRlV"/>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贯通测量</w:t>
            </w:r>
          </w:p>
        </w:tc>
        <w:tc>
          <w:tcPr>
            <w:tcW w:w="450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1.贯通精度满足设计要求,两井贯通和一井内导线距离3000m以上贯通测量工程应有设计，并按规定审批和总结；</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color w:val="00B0F0"/>
                <w:kern w:val="0"/>
                <w:sz w:val="21"/>
                <w:szCs w:val="21"/>
                <w:highlight w:val="none"/>
              </w:rPr>
              <w:t>2.贯通设计、贯通总结及贯通后联测资料齐全，有精度评定资料</w:t>
            </w:r>
          </w:p>
        </w:tc>
        <w:tc>
          <w:tcPr>
            <w:tcW w:w="450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贯通精度满足设计要求,两井贯通和一井内导线距离3000m以上贯通测量工程应有设计，并按规定审批和总结</w:t>
            </w:r>
          </w:p>
        </w:tc>
        <w:tc>
          <w:tcPr>
            <w:tcW w:w="269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新增精度评定资料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3" w:hRule="atLeast"/>
          <w:jc w:val="center"/>
        </w:trPr>
        <w:tc>
          <w:tcPr>
            <w:tcW w:w="10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tLeast"/>
              <w:ind w:firstLine="0" w:firstLineChars="0"/>
              <w:jc w:val="left"/>
              <w:rPr>
                <w:rFonts w:hint="eastAsia" w:asciiTheme="majorEastAsia" w:hAnsiTheme="majorEastAsia" w:eastAsiaTheme="majorEastAsia" w:cstheme="majorEastAsia"/>
                <w:kern w:val="0"/>
                <w:sz w:val="21"/>
                <w:szCs w:val="21"/>
                <w:highlight w:val="none"/>
              </w:rPr>
            </w:pPr>
          </w:p>
        </w:tc>
        <w:tc>
          <w:tcPr>
            <w:tcW w:w="1129" w:type="dxa"/>
            <w:tcBorders>
              <w:tl2br w:val="nil"/>
              <w:tr2bl w:val="nil"/>
            </w:tcBorders>
            <w:textDirection w:val="tbRlV"/>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测量通知单</w:t>
            </w:r>
          </w:p>
        </w:tc>
        <w:tc>
          <w:tcPr>
            <w:tcW w:w="450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贯通、开掘、放线变更、停掘、停采、过空间距离小于巷高或巷宽4倍的相邻巷道等重点测量工作，及时发送通知单</w:t>
            </w:r>
          </w:p>
        </w:tc>
        <w:tc>
          <w:tcPr>
            <w:tcW w:w="450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1.贯通、开掘、放线变更、停掘、停采、过特殊地质异常区、过空间距离小于巷高或巷宽4倍的相邻巷道等重点测量工作，执行通知单制度；</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2.通知单按规定审批、提前发送到施工单位、相关部门和人员</w:t>
            </w:r>
          </w:p>
        </w:tc>
        <w:tc>
          <w:tcPr>
            <w:tcW w:w="269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3" w:hRule="atLeast"/>
          <w:jc w:val="center"/>
        </w:trPr>
        <w:tc>
          <w:tcPr>
            <w:tcW w:w="10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tLeast"/>
              <w:ind w:firstLine="0" w:firstLineChars="0"/>
              <w:jc w:val="left"/>
              <w:rPr>
                <w:rFonts w:hint="eastAsia" w:asciiTheme="majorEastAsia" w:hAnsiTheme="majorEastAsia" w:eastAsiaTheme="majorEastAsia" w:cstheme="majorEastAsia"/>
                <w:kern w:val="0"/>
                <w:sz w:val="21"/>
                <w:szCs w:val="21"/>
                <w:highlight w:val="none"/>
              </w:rPr>
            </w:pPr>
          </w:p>
        </w:tc>
        <w:tc>
          <w:tcPr>
            <w:tcW w:w="1129" w:type="dxa"/>
            <w:tcBorders>
              <w:tl2br w:val="nil"/>
              <w:tr2bl w:val="nil"/>
            </w:tcBorders>
            <w:textDirection w:val="tbRlV"/>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地面沉陷观测</w:t>
            </w:r>
          </w:p>
        </w:tc>
        <w:tc>
          <w:tcPr>
            <w:tcW w:w="450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进行地面沉陷观测和分析，提供符合矿井情况的有关岩移参数；及时填绘采煤沉陷综合治理图；绘制矿井范围内受采动影响土地塌陷图表</w:t>
            </w:r>
          </w:p>
        </w:tc>
        <w:tc>
          <w:tcPr>
            <w:tcW w:w="450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1.进行地面沉陷观测；</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2.提供符合矿井情况的有关岩移参数</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1.及时填绘采煤沉陷综合治理图；</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color w:val="FF0000"/>
                <w:kern w:val="0"/>
                <w:sz w:val="21"/>
                <w:szCs w:val="21"/>
                <w:highlight w:val="none"/>
              </w:rPr>
            </w:pPr>
            <w:r>
              <w:rPr>
                <w:rFonts w:hint="eastAsia" w:asciiTheme="majorEastAsia" w:hAnsiTheme="majorEastAsia" w:eastAsiaTheme="majorEastAsia" w:cstheme="majorEastAsia"/>
                <w:color w:val="FF0000"/>
                <w:kern w:val="0"/>
                <w:sz w:val="21"/>
                <w:szCs w:val="21"/>
                <w:highlight w:val="none"/>
              </w:rPr>
              <w:t>2.建立地表塌陷裂缝治理台账、村庄搬迁台账；</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3.绘制矿井范围内受采动影响土地塌陷图表</w:t>
            </w:r>
          </w:p>
        </w:tc>
        <w:tc>
          <w:tcPr>
            <w:tcW w:w="269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4" w:hRule="atLeast"/>
          <w:jc w:val="center"/>
        </w:trPr>
        <w:tc>
          <w:tcPr>
            <w:tcW w:w="1065" w:type="dxa"/>
            <w:tcBorders>
              <w:tl2br w:val="nil"/>
              <w:tr2bl w:val="nil"/>
            </w:tcBorders>
            <w:textDirection w:val="tbRlV"/>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四、资源储量管理（10分）</w:t>
            </w:r>
          </w:p>
        </w:tc>
        <w:tc>
          <w:tcPr>
            <w:tcW w:w="1129" w:type="dxa"/>
            <w:tcBorders>
              <w:tl2br w:val="nil"/>
              <w:tr2bl w:val="nil"/>
            </w:tcBorders>
            <w:textDirection w:val="tbRlV"/>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Theme="majorEastAsia" w:hAnsiTheme="majorEastAsia" w:eastAsiaTheme="majorEastAsia" w:cstheme="majorEastAsia"/>
                <w:strike/>
                <w:kern w:val="0"/>
                <w:sz w:val="21"/>
                <w:szCs w:val="21"/>
                <w:highlight w:val="none"/>
              </w:rPr>
            </w:pPr>
            <w:r>
              <w:rPr>
                <w:rFonts w:hint="eastAsia" w:asciiTheme="majorEastAsia" w:hAnsiTheme="majorEastAsia" w:eastAsiaTheme="majorEastAsia" w:cstheme="majorEastAsia"/>
                <w:kern w:val="0"/>
                <w:sz w:val="21"/>
                <w:szCs w:val="21"/>
                <w:highlight w:val="none"/>
              </w:rPr>
              <w:t>“三量”管理</w:t>
            </w:r>
          </w:p>
        </w:tc>
        <w:tc>
          <w:tcPr>
            <w:tcW w:w="4500" w:type="dxa"/>
            <w:tcBorders>
              <w:tl2br w:val="nil"/>
              <w:tr2bl w:val="nil"/>
            </w:tcBorders>
            <w:vAlign w:val="center"/>
          </w:tcPr>
          <w:p>
            <w:pPr>
              <w:keepNext w:val="0"/>
              <w:keepLines w:val="0"/>
              <w:pageBreakBefore w:val="0"/>
              <w:widowControl/>
              <w:tabs>
                <w:tab w:val="left" w:pos="312"/>
              </w:tabs>
              <w:kinsoku/>
              <w:wordWrap/>
              <w:overflowPunct/>
              <w:topLinePunct w:val="0"/>
              <w:autoSpaceDE/>
              <w:autoSpaceDN/>
              <w:bidi w:val="0"/>
              <w:spacing w:line="240" w:lineRule="atLeast"/>
              <w:ind w:firstLine="0" w:firstLineChars="0"/>
              <w:jc w:val="left"/>
              <w:textAlignment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color w:val="00B0F0"/>
                <w:kern w:val="0"/>
                <w:sz w:val="21"/>
                <w:szCs w:val="21"/>
                <w:highlight w:val="none"/>
              </w:rPr>
              <w:t>1.每季度分析形成期末“三量”动态报表；</w:t>
            </w:r>
            <w:r>
              <w:rPr>
                <w:rFonts w:hint="eastAsia" w:asciiTheme="majorEastAsia" w:hAnsiTheme="majorEastAsia" w:eastAsiaTheme="majorEastAsia" w:cstheme="majorEastAsia"/>
                <w:kern w:val="0"/>
                <w:sz w:val="21"/>
                <w:szCs w:val="21"/>
                <w:highlight w:val="none"/>
              </w:rPr>
              <w:t>根据采掘接续变化，</w:t>
            </w:r>
            <w:r>
              <w:rPr>
                <w:rFonts w:hint="eastAsia" w:asciiTheme="majorEastAsia" w:hAnsiTheme="majorEastAsia" w:eastAsiaTheme="majorEastAsia" w:cstheme="majorEastAsia"/>
                <w:color w:val="00B0F0"/>
                <w:kern w:val="0"/>
                <w:sz w:val="21"/>
                <w:szCs w:val="21"/>
                <w:highlight w:val="none"/>
              </w:rPr>
              <w:t>每年不少于1次</w:t>
            </w:r>
            <w:r>
              <w:rPr>
                <w:rFonts w:hint="eastAsia" w:asciiTheme="majorEastAsia" w:hAnsiTheme="majorEastAsia" w:eastAsiaTheme="majorEastAsia" w:cstheme="majorEastAsia"/>
                <w:kern w:val="0"/>
                <w:sz w:val="21"/>
                <w:szCs w:val="21"/>
                <w:highlight w:val="none"/>
              </w:rPr>
              <w:t>对“三量”动态变化进行统计和分析，形成分析报告；</w:t>
            </w:r>
          </w:p>
          <w:p>
            <w:pPr>
              <w:keepNext w:val="0"/>
              <w:keepLines w:val="0"/>
              <w:pageBreakBefore w:val="0"/>
              <w:widowControl/>
              <w:tabs>
                <w:tab w:val="left" w:pos="312"/>
              </w:tabs>
              <w:kinsoku/>
              <w:wordWrap/>
              <w:overflowPunct/>
              <w:topLinePunct w:val="0"/>
              <w:autoSpaceDE/>
              <w:autoSpaceDN/>
              <w:bidi w:val="0"/>
              <w:spacing w:line="240" w:lineRule="atLeast"/>
              <w:ind w:firstLine="0" w:firstLineChars="0"/>
              <w:jc w:val="left"/>
              <w:textAlignment w:val="center"/>
              <w:rPr>
                <w:rFonts w:hint="eastAsia" w:asciiTheme="majorEastAsia" w:hAnsiTheme="majorEastAsia" w:eastAsiaTheme="majorEastAsia" w:cstheme="majorEastAsia"/>
                <w:color w:val="00B0F0"/>
                <w:kern w:val="0"/>
                <w:sz w:val="21"/>
                <w:szCs w:val="21"/>
                <w:highlight w:val="none"/>
              </w:rPr>
            </w:pPr>
            <w:r>
              <w:rPr>
                <w:rFonts w:hint="eastAsia" w:asciiTheme="majorEastAsia" w:hAnsiTheme="majorEastAsia" w:eastAsiaTheme="majorEastAsia" w:cstheme="majorEastAsia"/>
                <w:color w:val="00B0F0"/>
                <w:kern w:val="0"/>
                <w:sz w:val="21"/>
                <w:szCs w:val="21"/>
                <w:highlight w:val="none"/>
              </w:rPr>
              <w:t>2.根据采掘工作面接续计划，计算最短“三量”可采期；</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strike/>
                <w:kern w:val="0"/>
                <w:sz w:val="21"/>
                <w:szCs w:val="21"/>
                <w:highlight w:val="none"/>
              </w:rPr>
            </w:pPr>
            <w:r>
              <w:rPr>
                <w:rFonts w:hint="eastAsia" w:asciiTheme="majorEastAsia" w:hAnsiTheme="majorEastAsia" w:eastAsiaTheme="majorEastAsia" w:cstheme="majorEastAsia"/>
                <w:kern w:val="0"/>
                <w:sz w:val="21"/>
                <w:szCs w:val="21"/>
                <w:highlight w:val="none"/>
              </w:rPr>
              <w:t>3.</w:t>
            </w:r>
            <w:r>
              <w:rPr>
                <w:rFonts w:hint="eastAsia" w:asciiTheme="majorEastAsia" w:hAnsiTheme="majorEastAsia" w:eastAsiaTheme="majorEastAsia" w:cstheme="majorEastAsia"/>
                <w:color w:val="00B0F0"/>
                <w:kern w:val="0"/>
                <w:sz w:val="21"/>
                <w:szCs w:val="21"/>
                <w:highlight w:val="none"/>
              </w:rPr>
              <w:t>“三量”可采期未达到规定要求的，应当报告煤矿企业，并主动采取限产或停产措施，制定相应的灾害治理和采掘调整计划方案，上报煤矿企业；</w:t>
            </w:r>
            <w:r>
              <w:rPr>
                <w:rFonts w:hint="eastAsia" w:asciiTheme="majorEastAsia" w:hAnsiTheme="majorEastAsia" w:eastAsiaTheme="majorEastAsia" w:cstheme="majorEastAsia"/>
                <w:kern w:val="0"/>
                <w:sz w:val="21"/>
                <w:szCs w:val="21"/>
                <w:highlight w:val="none"/>
              </w:rPr>
              <w:t>采取限产措施后，开拓、准备、回采煤量可采期符合规定</w:t>
            </w:r>
          </w:p>
        </w:tc>
        <w:tc>
          <w:tcPr>
            <w:tcW w:w="450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有符合《矿山储量动态管理要求》规定的各种图纸，内容符合储量、损失量计算图要求</w:t>
            </w:r>
          </w:p>
          <w:p>
            <w:pPr>
              <w:pStyle w:val="11"/>
              <w:bidi w:val="0"/>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有符合《矿山储量动态管理要求》规定的储量计算台账和损失量计算台账，种类齐全、填写及时、准确，有电子文档</w:t>
            </w:r>
          </w:p>
          <w:p>
            <w:pPr>
              <w:pStyle w:val="11"/>
              <w:bidi w:val="0"/>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1.储量动态清楚，损失量及构成原因等准确；</w:t>
            </w:r>
          </w:p>
          <w:p>
            <w:pPr>
              <w:pStyle w:val="11"/>
              <w:bidi w:val="0"/>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2.储量变动批文、报告完整，按时间顺序编号、合订；</w:t>
            </w:r>
          </w:p>
          <w:p>
            <w:pPr>
              <w:pStyle w:val="11"/>
              <w:bidi w:val="0"/>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3.定期分析回采率，能如实反映储量损失情况；</w:t>
            </w:r>
          </w:p>
          <w:p>
            <w:pPr>
              <w:pStyle w:val="11"/>
              <w:bidi w:val="0"/>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4.采区、工作面结束后，有损失率分析报告；</w:t>
            </w:r>
          </w:p>
          <w:p>
            <w:pPr>
              <w:pStyle w:val="11"/>
              <w:bidi w:val="0"/>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5.每半年进行1次全矿回采率总结；</w:t>
            </w:r>
          </w:p>
          <w:p>
            <w:pPr>
              <w:pStyle w:val="11"/>
              <w:bidi w:val="0"/>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6.三年内丢煤通知单完整无缺，按时间顺序编号、合订；</w:t>
            </w:r>
          </w:p>
          <w:p>
            <w:pPr>
              <w:pStyle w:val="11"/>
              <w:bidi w:val="0"/>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7.采区、工作面回采率符合要求</w:t>
            </w:r>
          </w:p>
        </w:tc>
        <w:tc>
          <w:tcPr>
            <w:tcW w:w="269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新增季度末形成“三量”动态报表；最短“三量”可采期；“三量”可采期未达到规定要求采取的措施及上报要求。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2" w:hRule="atLeast"/>
          <w:jc w:val="center"/>
        </w:trPr>
        <w:tc>
          <w:tcPr>
            <w:tcW w:w="1065" w:type="dxa"/>
            <w:tcBorders>
              <w:tl2br w:val="nil"/>
              <w:tr2bl w:val="nil"/>
            </w:tcBorders>
            <w:textDirection w:val="tbRlV"/>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附加项</w:t>
            </w:r>
          </w:p>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（2分）</w:t>
            </w:r>
          </w:p>
        </w:tc>
        <w:tc>
          <w:tcPr>
            <w:tcW w:w="1129" w:type="dxa"/>
            <w:tcBorders>
              <w:tl2br w:val="nil"/>
              <w:tr2bl w:val="nil"/>
            </w:tcBorders>
            <w:textDirection w:val="tbRlV"/>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科技创新</w:t>
            </w:r>
          </w:p>
        </w:tc>
        <w:tc>
          <w:tcPr>
            <w:tcW w:w="450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color w:val="00B0F0"/>
                <w:kern w:val="0"/>
                <w:sz w:val="21"/>
                <w:szCs w:val="21"/>
                <w:highlight w:val="none"/>
              </w:rPr>
              <w:t>积极推进透明地质新理论、新技术、新方法、新装备等建设应用</w:t>
            </w:r>
          </w:p>
        </w:tc>
        <w:tc>
          <w:tcPr>
            <w:tcW w:w="450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kern w:val="0"/>
                <w:sz w:val="21"/>
                <w:szCs w:val="21"/>
                <w:highlight w:val="none"/>
              </w:rPr>
            </w:pPr>
          </w:p>
        </w:tc>
        <w:tc>
          <w:tcPr>
            <w:tcW w:w="269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新增科技创新</w:t>
            </w:r>
          </w:p>
        </w:tc>
      </w:tr>
    </w:tbl>
    <w:p>
      <w:pPr>
        <w:jc w:val="center"/>
        <w:rPr>
          <w:rFonts w:hint="eastAsia" w:ascii="宋体" w:hAnsi="宋体" w:eastAsia="宋体" w:cs="宋体"/>
          <w:b/>
          <w:bCs/>
          <w:sz w:val="32"/>
          <w:szCs w:val="32"/>
          <w:highlight w:val="none"/>
          <w:lang w:val="en-US" w:eastAsia="zh-CN"/>
        </w:rPr>
        <w:sectPr>
          <w:pgSz w:w="16838" w:h="11906" w:orient="landscape"/>
          <w:pgMar w:top="1800" w:right="1440" w:bottom="1800" w:left="1440" w:header="851" w:footer="992" w:gutter="0"/>
          <w:cols w:space="425" w:num="1"/>
          <w:docGrid w:type="lines" w:linePitch="312" w:charSpace="0"/>
        </w:sectPr>
      </w:pPr>
    </w:p>
    <w:p>
      <w:pPr>
        <w:jc w:val="cente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val="en-US" w:eastAsia="zh-CN"/>
        </w:rPr>
        <w:t>5、</w:t>
      </w:r>
      <w:r>
        <w:rPr>
          <w:rFonts w:hint="eastAsia" w:ascii="宋体" w:hAnsi="宋体" w:eastAsia="宋体" w:cs="宋体"/>
          <w:b/>
          <w:bCs/>
          <w:sz w:val="32"/>
          <w:szCs w:val="32"/>
          <w:highlight w:val="none"/>
        </w:rPr>
        <w:t>煤矿</w:t>
      </w:r>
      <w:r>
        <w:rPr>
          <w:rFonts w:hint="eastAsia" w:ascii="宋体" w:hAnsi="宋体" w:eastAsia="宋体" w:cs="宋体"/>
          <w:b/>
          <w:bCs/>
          <w:color w:val="FF0000"/>
          <w:sz w:val="32"/>
          <w:szCs w:val="32"/>
          <w:highlight w:val="none"/>
        </w:rPr>
        <w:t>采煤</w:t>
      </w:r>
      <w:r>
        <w:rPr>
          <w:rFonts w:hint="eastAsia" w:ascii="宋体" w:hAnsi="宋体" w:eastAsia="宋体" w:cs="宋体"/>
          <w:b/>
          <w:bCs/>
          <w:sz w:val="32"/>
          <w:szCs w:val="32"/>
          <w:highlight w:val="none"/>
        </w:rPr>
        <w:t>标准化评分表</w:t>
      </w:r>
    </w:p>
    <w:tbl>
      <w:tblPr>
        <w:tblStyle w:val="8"/>
        <w:tblpPr w:leftFromText="180" w:rightFromText="180" w:vertAnchor="text" w:horzAnchor="page" w:tblpXSpec="center" w:tblpY="567"/>
        <w:tblOverlap w:val="never"/>
        <w:tblW w:w="13938" w:type="dxa"/>
        <w:jc w:val="center"/>
        <w:tblInd w:w="0" w:type="dxa"/>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64"/>
        <w:gridCol w:w="990"/>
        <w:gridCol w:w="4902"/>
        <w:gridCol w:w="4740"/>
        <w:gridCol w:w="2342"/>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964" w:type="dxa"/>
            <w:tcBorders>
              <w:left w:val="nil"/>
            </w:tcBorders>
            <w:noWrap w:val="0"/>
            <w:vAlign w:val="center"/>
          </w:tcPr>
          <w:p>
            <w:pPr>
              <w:widowControl/>
              <w:adjustRightInd w:val="0"/>
              <w:snapToGrid w:val="0"/>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w:t>
            </w:r>
          </w:p>
        </w:tc>
        <w:tc>
          <w:tcPr>
            <w:tcW w:w="990" w:type="dxa"/>
            <w:noWrap w:val="0"/>
            <w:vAlign w:val="center"/>
          </w:tcPr>
          <w:p>
            <w:pPr>
              <w:widowControl/>
              <w:adjustRightInd w:val="0"/>
              <w:snapToGrid w:val="0"/>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项目内容</w:t>
            </w:r>
          </w:p>
        </w:tc>
        <w:tc>
          <w:tcPr>
            <w:tcW w:w="4902" w:type="dxa"/>
            <w:noWrap w:val="0"/>
            <w:vAlign w:val="center"/>
          </w:tcPr>
          <w:p>
            <w:pPr>
              <w:widowControl/>
              <w:adjustRightInd w:val="0"/>
              <w:snapToGrid w:val="0"/>
              <w:jc w:val="center"/>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2024版</w:t>
            </w:r>
            <w:r>
              <w:rPr>
                <w:rFonts w:hint="eastAsia" w:asciiTheme="minorEastAsia" w:hAnsiTheme="minorEastAsia" w:eastAsiaTheme="minorEastAsia" w:cstheme="minorEastAsia"/>
                <w:b/>
                <w:bCs/>
                <w:sz w:val="21"/>
                <w:szCs w:val="21"/>
                <w:highlight w:val="none"/>
                <w:lang w:eastAsia="zh-CN"/>
              </w:rPr>
              <w:t>基本要求</w:t>
            </w:r>
          </w:p>
        </w:tc>
        <w:tc>
          <w:tcPr>
            <w:tcW w:w="4740" w:type="dxa"/>
            <w:noWrap w:val="0"/>
            <w:vAlign w:val="center"/>
          </w:tcPr>
          <w:p>
            <w:pPr>
              <w:widowControl/>
              <w:adjustRightInd w:val="0"/>
              <w:snapToGrid w:val="0"/>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val="en-US" w:eastAsia="zh-CN"/>
              </w:rPr>
              <w:t>2020版基本要求</w:t>
            </w:r>
          </w:p>
        </w:tc>
        <w:tc>
          <w:tcPr>
            <w:tcW w:w="2342" w:type="dxa"/>
            <w:noWrap w:val="0"/>
            <w:vAlign w:val="center"/>
          </w:tcPr>
          <w:p>
            <w:pPr>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变化</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256" w:hRule="atLeast"/>
          <w:jc w:val="center"/>
        </w:trPr>
        <w:tc>
          <w:tcPr>
            <w:tcW w:w="964" w:type="dxa"/>
            <w:vMerge w:val="restart"/>
            <w:tcBorders>
              <w:left w:val="nil"/>
            </w:tcBorders>
            <w:noWrap w:val="0"/>
            <w:textDirection w:val="tbRlV"/>
            <w:vAlign w:val="center"/>
          </w:tcPr>
          <w:p>
            <w:pPr>
              <w:pStyle w:val="13"/>
              <w:adjustRightInd w:val="0"/>
              <w:snapToGrid w:val="0"/>
              <w:ind w:right="113"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40"/>
                <w:sz w:val="21"/>
                <w:szCs w:val="21"/>
                <w:highlight w:val="none"/>
              </w:rPr>
              <w:t>一、基础管理（15分）</w:t>
            </w:r>
          </w:p>
        </w:tc>
        <w:tc>
          <w:tcPr>
            <w:tcW w:w="990" w:type="dxa"/>
            <w:noWrap w:val="0"/>
            <w:vAlign w:val="center"/>
          </w:tcPr>
          <w:p>
            <w:pPr>
              <w:adjustRightInd w:val="0"/>
              <w:snapToGrid w:val="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监测</w:t>
            </w:r>
          </w:p>
        </w:tc>
        <w:tc>
          <w:tcPr>
            <w:tcW w:w="4902" w:type="dxa"/>
            <w:noWrap w:val="0"/>
            <w:vAlign w:val="center"/>
          </w:tcPr>
          <w:p>
            <w:pPr>
              <w:adjustRightInd w:val="0"/>
              <w:snapToGrid w:val="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1.工作面进行支护质量检查和顶板动态监测；进、回风巷开展围岩表面位移观测，锚杆支护巷道有顶板离层监测；</w:t>
            </w:r>
          </w:p>
          <w:p>
            <w:pPr>
              <w:adjustRightInd w:val="0"/>
              <w:snapToGrid w:val="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2.观测、监测有记录，记录数据符合实际；</w:t>
            </w:r>
            <w:r>
              <w:rPr>
                <w:rFonts w:hint="eastAsia" w:asciiTheme="minorEastAsia" w:hAnsiTheme="minorEastAsia" w:eastAsiaTheme="minorEastAsia" w:cstheme="minorEastAsia"/>
                <w:color w:val="0070C0"/>
                <w:kern w:val="0"/>
                <w:sz w:val="21"/>
                <w:szCs w:val="21"/>
                <w:highlight w:val="none"/>
              </w:rPr>
              <w:t>每月至少分析1次观测数据的变化规律，形成报告指导安全生产；</w:t>
            </w:r>
          </w:p>
          <w:p>
            <w:pPr>
              <w:adjustRightInd w:val="0"/>
              <w:snapToGrid w:val="0"/>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rPr>
              <w:t>3.</w:t>
            </w:r>
            <w:r>
              <w:rPr>
                <w:rFonts w:hint="eastAsia" w:asciiTheme="minorEastAsia" w:hAnsiTheme="minorEastAsia" w:eastAsiaTheme="minorEastAsia" w:cstheme="minorEastAsia"/>
                <w:color w:val="0070C0"/>
                <w:kern w:val="0"/>
                <w:sz w:val="21"/>
                <w:szCs w:val="21"/>
                <w:highlight w:val="none"/>
              </w:rPr>
              <w:t>顶板离层临界值在作业规程中规定，超过临界值时顶板有加固措施</w:t>
            </w:r>
          </w:p>
        </w:tc>
        <w:tc>
          <w:tcPr>
            <w:tcW w:w="4740" w:type="dxa"/>
            <w:noWrap w:val="0"/>
            <w:vAlign w:val="center"/>
          </w:tcPr>
          <w:p>
            <w:pPr>
              <w:adjustRightInd w:val="0"/>
              <w:snapToGrid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1.采煤工作面实行顶板动态和支护质量监测；进、回风巷实行围岩变形观测，锚杆支护有顶板离层监测；</w:t>
            </w:r>
          </w:p>
          <w:p>
            <w:pPr>
              <w:adjustRightInd w:val="0"/>
              <w:snapToGrid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2.监测观测有记录，记录数据符合实际；</w:t>
            </w:r>
          </w:p>
          <w:p>
            <w:pPr>
              <w:adjustRightInd w:val="0"/>
              <w:snapToGrid w:val="0"/>
              <w:rPr>
                <w:rFonts w:hint="eastAsia" w:asciiTheme="minorEastAsia" w:hAnsiTheme="minorEastAsia" w:eastAsiaTheme="minorEastAsia" w:cstheme="minorEastAsia"/>
                <w:color w:val="FF0000"/>
                <w:sz w:val="21"/>
                <w:szCs w:val="21"/>
                <w:highlight w:val="none"/>
              </w:rPr>
            </w:pPr>
            <w:r>
              <w:rPr>
                <w:rFonts w:hint="eastAsia" w:asciiTheme="minorEastAsia" w:hAnsiTheme="minorEastAsia" w:eastAsiaTheme="minorEastAsia" w:cstheme="minorEastAsia"/>
                <w:color w:val="FF0000"/>
                <w:sz w:val="21"/>
                <w:szCs w:val="21"/>
                <w:highlight w:val="none"/>
              </w:rPr>
              <w:t>3.异常情况有处理意见并落实；</w:t>
            </w:r>
          </w:p>
          <w:p>
            <w:pPr>
              <w:adjustRightInd w:val="0"/>
              <w:snapToGrid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4.对观测数据进行规律分析，有分析结果</w:t>
            </w:r>
          </w:p>
        </w:tc>
        <w:tc>
          <w:tcPr>
            <w:tcW w:w="2342" w:type="dxa"/>
            <w:noWrap w:val="0"/>
            <w:vAlign w:val="center"/>
          </w:tcPr>
          <w:p>
            <w:pPr>
              <w:adjustRightInd w:val="0"/>
              <w:snapToGrid w:val="0"/>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删除“</w:t>
            </w:r>
            <w:r>
              <w:rPr>
                <w:rFonts w:hint="eastAsia" w:asciiTheme="minorEastAsia" w:hAnsiTheme="minorEastAsia" w:eastAsiaTheme="minorEastAsia" w:cstheme="minorEastAsia"/>
                <w:b w:val="0"/>
                <w:bCs w:val="0"/>
                <w:color w:val="auto"/>
                <w:sz w:val="21"/>
                <w:szCs w:val="21"/>
                <w:highlight w:val="none"/>
              </w:rPr>
              <w:t>异常情况有处理意见并落实</w:t>
            </w:r>
            <w:r>
              <w:rPr>
                <w:rFonts w:hint="eastAsia" w:asciiTheme="minorEastAsia" w:hAnsiTheme="minorEastAsia" w:eastAsiaTheme="minorEastAsia" w:cstheme="minorEastAsia"/>
                <w:b w:val="0"/>
                <w:bCs w:val="0"/>
                <w:color w:val="auto"/>
                <w:sz w:val="21"/>
                <w:szCs w:val="21"/>
                <w:highlight w:val="none"/>
                <w:lang w:eastAsia="zh-CN"/>
              </w:rPr>
              <w:t>”要求，</w:t>
            </w:r>
          </w:p>
          <w:p>
            <w:pPr>
              <w:adjustRightInd w:val="0"/>
              <w:snapToGrid w:val="0"/>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新增“每月至少分析1次观测数据的变化规律，形成报告指导安全生产；顶板离层临界值在作业规程中规定，超过临界值时顶板有加固措施”</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76" w:hRule="atLeast"/>
          <w:jc w:val="center"/>
        </w:trPr>
        <w:tc>
          <w:tcPr>
            <w:tcW w:w="964" w:type="dxa"/>
            <w:vMerge w:val="continue"/>
            <w:tcBorders>
              <w:left w:val="nil"/>
            </w:tcBorders>
            <w:noWrap w:val="0"/>
            <w:textDirection w:val="tbRlV"/>
            <w:vAlign w:val="center"/>
          </w:tcPr>
          <w:p>
            <w:pPr>
              <w:adjustRightInd w:val="0"/>
              <w:snapToGrid w:val="0"/>
              <w:ind w:left="113" w:right="113"/>
              <w:jc w:val="center"/>
              <w:rPr>
                <w:rFonts w:hint="eastAsia" w:asciiTheme="minorEastAsia" w:hAnsiTheme="minorEastAsia" w:eastAsiaTheme="minorEastAsia" w:cstheme="minorEastAsia"/>
                <w:b/>
                <w:kern w:val="0"/>
                <w:sz w:val="21"/>
                <w:szCs w:val="21"/>
                <w:highlight w:val="none"/>
              </w:rPr>
            </w:pPr>
          </w:p>
        </w:tc>
        <w:tc>
          <w:tcPr>
            <w:tcW w:w="990" w:type="dxa"/>
            <w:noWrap w:val="0"/>
            <w:vAlign w:val="center"/>
          </w:tcPr>
          <w:p>
            <w:pPr>
              <w:adjustRightInd w:val="0"/>
              <w:snapToGrid w:val="0"/>
              <w:ind w:left="315"/>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规</w:t>
            </w:r>
          </w:p>
          <w:p>
            <w:pPr>
              <w:adjustRightInd w:val="0"/>
              <w:snapToGrid w:val="0"/>
              <w:ind w:left="315"/>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程</w:t>
            </w:r>
          </w:p>
          <w:p>
            <w:pPr>
              <w:adjustRightInd w:val="0"/>
              <w:snapToGrid w:val="0"/>
              <w:ind w:left="315"/>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措</w:t>
            </w:r>
          </w:p>
          <w:p>
            <w:pPr>
              <w:adjustRightInd w:val="0"/>
              <w:snapToGrid w:val="0"/>
              <w:ind w:left="315"/>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施</w:t>
            </w:r>
          </w:p>
        </w:tc>
        <w:tc>
          <w:tcPr>
            <w:tcW w:w="4902" w:type="dxa"/>
            <w:noWrap w:val="0"/>
            <w:vAlign w:val="center"/>
          </w:tcPr>
          <w:p>
            <w:pPr>
              <w:adjustRightInd w:val="0"/>
              <w:snapToGrid w:val="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1.作业规程编制和内容符合《煤矿安全规程》等相关要求；支护方式的选择、支护强度的计算有依据；工作面条件发生变化时，及时修改作业规程或补充安全技术措施；</w:t>
            </w:r>
          </w:p>
          <w:p>
            <w:pPr>
              <w:adjustRightInd w:val="0"/>
              <w:snapToGrid w:val="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2.工作面安装拆除、初次放顶、强制放顶、收尾、</w:t>
            </w:r>
            <w:r>
              <w:rPr>
                <w:rFonts w:hint="eastAsia" w:asciiTheme="minorEastAsia" w:hAnsiTheme="minorEastAsia" w:eastAsiaTheme="minorEastAsia" w:cstheme="minorEastAsia"/>
                <w:color w:val="0000FF"/>
                <w:kern w:val="0"/>
                <w:sz w:val="21"/>
                <w:szCs w:val="21"/>
                <w:highlight w:val="none"/>
              </w:rPr>
              <w:t>遇顶底板松软或者破碎</w:t>
            </w:r>
            <w:r>
              <w:rPr>
                <w:rFonts w:hint="eastAsia" w:asciiTheme="minorEastAsia" w:hAnsiTheme="minorEastAsia" w:eastAsiaTheme="minorEastAsia" w:cstheme="minorEastAsia"/>
                <w:kern w:val="0"/>
                <w:sz w:val="21"/>
                <w:szCs w:val="21"/>
                <w:highlight w:val="none"/>
              </w:rPr>
              <w:t>、过断层</w:t>
            </w:r>
            <w:r>
              <w:rPr>
                <w:rFonts w:hint="eastAsia" w:asciiTheme="minorEastAsia" w:hAnsiTheme="minorEastAsia" w:eastAsiaTheme="minorEastAsia" w:cstheme="minorEastAsia"/>
                <w:color w:val="0000FF"/>
                <w:kern w:val="0"/>
                <w:sz w:val="21"/>
                <w:szCs w:val="21"/>
                <w:highlight w:val="none"/>
              </w:rPr>
              <w:t>、过老空区</w:t>
            </w:r>
            <w:r>
              <w:rPr>
                <w:rFonts w:hint="eastAsia" w:asciiTheme="minorEastAsia" w:hAnsiTheme="minorEastAsia" w:eastAsiaTheme="minorEastAsia" w:cstheme="minorEastAsia"/>
                <w:kern w:val="0"/>
                <w:sz w:val="21"/>
                <w:szCs w:val="21"/>
                <w:highlight w:val="none"/>
              </w:rPr>
              <w:t>、过空巷、过煤柱、过冒顶区、过钻孔、过陷落柱、</w:t>
            </w:r>
            <w:r>
              <w:rPr>
                <w:rFonts w:hint="eastAsia" w:asciiTheme="minorEastAsia" w:hAnsiTheme="minorEastAsia" w:eastAsiaTheme="minorEastAsia" w:cstheme="minorEastAsia"/>
                <w:color w:val="0000FF"/>
                <w:kern w:val="0"/>
                <w:sz w:val="21"/>
                <w:szCs w:val="21"/>
                <w:highlight w:val="none"/>
              </w:rPr>
              <w:t>巷道维修</w:t>
            </w:r>
            <w:r>
              <w:rPr>
                <w:rFonts w:hint="eastAsia" w:asciiTheme="minorEastAsia" w:hAnsiTheme="minorEastAsia" w:eastAsiaTheme="minorEastAsia" w:cstheme="minorEastAsia"/>
                <w:kern w:val="0"/>
                <w:sz w:val="21"/>
                <w:szCs w:val="21"/>
                <w:highlight w:val="none"/>
              </w:rPr>
              <w:t>、托伪顶开采等，编制安全技术措施并组织实施；</w:t>
            </w:r>
          </w:p>
          <w:p>
            <w:pPr>
              <w:adjustRightInd w:val="0"/>
              <w:snapToGrid w:val="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w:t>
            </w:r>
            <w:r>
              <w:rPr>
                <w:rFonts w:hint="eastAsia" w:asciiTheme="minorEastAsia" w:hAnsiTheme="minorEastAsia" w:eastAsiaTheme="minorEastAsia" w:cstheme="minorEastAsia"/>
                <w:color w:val="0000FF"/>
                <w:kern w:val="0"/>
                <w:sz w:val="21"/>
                <w:szCs w:val="21"/>
                <w:highlight w:val="none"/>
              </w:rPr>
              <w:t>规程措施在施工前审批完成并贯彻</w:t>
            </w:r>
            <w:r>
              <w:rPr>
                <w:rFonts w:hint="eastAsia" w:asciiTheme="minorEastAsia" w:hAnsiTheme="minorEastAsia" w:eastAsiaTheme="minorEastAsia" w:cstheme="minorEastAsia"/>
                <w:kern w:val="0"/>
                <w:sz w:val="21"/>
                <w:szCs w:val="21"/>
                <w:highlight w:val="none"/>
              </w:rPr>
              <w:t>；</w:t>
            </w:r>
          </w:p>
          <w:p>
            <w:pPr>
              <w:adjustRightInd w:val="0"/>
              <w:snapToGrid w:val="0"/>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rPr>
              <w:t>4.煤矿总工程师至少每2个月组织对作业规程进行复审，并有复审意见</w:t>
            </w:r>
          </w:p>
        </w:tc>
        <w:tc>
          <w:tcPr>
            <w:tcW w:w="4740" w:type="dxa"/>
            <w:noWrap w:val="0"/>
            <w:vAlign w:val="center"/>
          </w:tcPr>
          <w:p>
            <w:pPr>
              <w:adjustRightInd w:val="0"/>
              <w:snapToGrid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1.作业规程符合《煤矿安全规程》等要求；采煤工作面地质条件发生变化时，及时修改作业规程或补充安全技术措施</w:t>
            </w:r>
            <w:r>
              <w:rPr>
                <w:rFonts w:hint="eastAsia" w:asciiTheme="minorEastAsia" w:hAnsiTheme="minorEastAsia" w:eastAsiaTheme="minorEastAsia" w:cstheme="minorEastAsia"/>
                <w:kern w:val="0"/>
                <w:sz w:val="21"/>
                <w:szCs w:val="21"/>
                <w:highlight w:val="none"/>
              </w:rPr>
              <w:t>；</w:t>
            </w:r>
          </w:p>
          <w:p>
            <w:pPr>
              <w:adjustRightInd w:val="0"/>
              <w:snapToGrid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2.矿总工程师至少每两个月组织对作业规程及贯彻实施情况进行复审，且有复审意见；</w:t>
            </w:r>
          </w:p>
          <w:p>
            <w:pPr>
              <w:adjustRightInd w:val="0"/>
              <w:snapToGrid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3.工作面安装、初次放顶、强制放顶、收尾、回撤、过地质构造带、过老巷、过煤柱、过冒顶区、过钻孔、过陷落柱等，以及托伪顶开采时，制定安全技术措施并组织实施</w:t>
            </w:r>
            <w:r>
              <w:rPr>
                <w:rFonts w:hint="eastAsia" w:asciiTheme="minorEastAsia" w:hAnsiTheme="minorEastAsia" w:eastAsiaTheme="minorEastAsia" w:cstheme="minorEastAsia"/>
                <w:kern w:val="0"/>
                <w:sz w:val="21"/>
                <w:szCs w:val="21"/>
                <w:highlight w:val="none"/>
              </w:rPr>
              <w:t>；</w:t>
            </w:r>
          </w:p>
          <w:p>
            <w:pPr>
              <w:adjustRightInd w:val="0"/>
              <w:snapToGrid w:val="0"/>
              <w:rPr>
                <w:rFonts w:hint="eastAsia" w:asciiTheme="minorEastAsia" w:hAnsiTheme="minorEastAsia" w:eastAsiaTheme="minorEastAsia" w:cstheme="minorEastAsia"/>
                <w:color w:val="FF0000"/>
                <w:sz w:val="21"/>
                <w:szCs w:val="21"/>
                <w:highlight w:val="none"/>
              </w:rPr>
            </w:pPr>
            <w:r>
              <w:rPr>
                <w:rFonts w:hint="eastAsia" w:asciiTheme="minorEastAsia" w:hAnsiTheme="minorEastAsia" w:eastAsiaTheme="minorEastAsia" w:cstheme="minorEastAsia"/>
                <w:color w:val="FF0000"/>
                <w:sz w:val="21"/>
                <w:szCs w:val="21"/>
                <w:highlight w:val="none"/>
              </w:rPr>
              <w:t>4.作业规程中支护方式的选择、支护强度的计算有依据</w:t>
            </w:r>
            <w:r>
              <w:rPr>
                <w:rFonts w:hint="eastAsia" w:asciiTheme="minorEastAsia" w:hAnsiTheme="minorEastAsia" w:eastAsiaTheme="minorEastAsia" w:cstheme="minorEastAsia"/>
                <w:color w:val="FF0000"/>
                <w:kern w:val="0"/>
                <w:sz w:val="21"/>
                <w:szCs w:val="21"/>
                <w:highlight w:val="none"/>
              </w:rPr>
              <w:t>；</w:t>
            </w:r>
          </w:p>
          <w:p>
            <w:pPr>
              <w:adjustRightInd w:val="0"/>
              <w:snapToGrid w:val="0"/>
              <w:rPr>
                <w:rFonts w:hint="eastAsia" w:asciiTheme="minorEastAsia" w:hAnsiTheme="minorEastAsia" w:eastAsiaTheme="minorEastAsia" w:cstheme="minorEastAsia"/>
                <w:color w:val="FF0000"/>
                <w:sz w:val="21"/>
                <w:szCs w:val="21"/>
                <w:highlight w:val="none"/>
              </w:rPr>
            </w:pPr>
            <w:r>
              <w:rPr>
                <w:rFonts w:hint="eastAsia" w:asciiTheme="minorEastAsia" w:hAnsiTheme="minorEastAsia" w:eastAsiaTheme="minorEastAsia" w:cstheme="minorEastAsia"/>
                <w:color w:val="FF0000"/>
                <w:sz w:val="21"/>
                <w:szCs w:val="21"/>
                <w:highlight w:val="none"/>
              </w:rPr>
              <w:t>5.作业规程中各种附图完整规范</w:t>
            </w:r>
            <w:r>
              <w:rPr>
                <w:rFonts w:hint="eastAsia" w:asciiTheme="minorEastAsia" w:hAnsiTheme="minorEastAsia" w:eastAsiaTheme="minorEastAsia" w:cstheme="minorEastAsia"/>
                <w:color w:val="FF0000"/>
                <w:kern w:val="0"/>
                <w:sz w:val="21"/>
                <w:szCs w:val="21"/>
                <w:highlight w:val="none"/>
              </w:rPr>
              <w:t>；</w:t>
            </w:r>
          </w:p>
          <w:p>
            <w:pPr>
              <w:adjustRightInd w:val="0"/>
              <w:snapToGrid w:val="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color w:val="FF0000"/>
                <w:sz w:val="21"/>
                <w:szCs w:val="21"/>
                <w:highlight w:val="none"/>
              </w:rPr>
              <w:t>6.放顶煤开采工作面开采设计制定有防瓦斯、防灭火、防水等灾害治理专项安全技术措施，并按规定进行审批和验收</w:t>
            </w:r>
          </w:p>
        </w:tc>
        <w:tc>
          <w:tcPr>
            <w:tcW w:w="2342" w:type="dxa"/>
            <w:noWrap w:val="0"/>
            <w:vAlign w:val="center"/>
          </w:tcPr>
          <w:p>
            <w:pPr>
              <w:adjustRightInd w:val="0"/>
              <w:snapToGrid w:val="0"/>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删除“作业规程中支护方式的选择、支护强度的计算有依据；作业规程中各种附图完整规范；放顶煤开采工作面开采设计制定有防瓦斯、防灭火、防水等灾害治理专项安全技术措施，并按规定进行审批和验收”</w:t>
            </w:r>
          </w:p>
          <w:p>
            <w:pPr>
              <w:adjustRightInd w:val="0"/>
              <w:snapToGrid w:val="0"/>
              <w:jc w:val="center"/>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新增采煤工作面“</w:t>
            </w:r>
            <w:r>
              <w:rPr>
                <w:rFonts w:hint="eastAsia" w:asciiTheme="minorEastAsia" w:hAnsiTheme="minorEastAsia" w:eastAsiaTheme="minorEastAsia" w:cstheme="minorEastAsia"/>
                <w:b w:val="0"/>
                <w:bCs w:val="0"/>
                <w:color w:val="auto"/>
                <w:kern w:val="0"/>
                <w:sz w:val="21"/>
                <w:szCs w:val="21"/>
                <w:highlight w:val="none"/>
              </w:rPr>
              <w:t>遇顶底板松软或者破碎、过老空区、巷道维修；</w:t>
            </w:r>
          </w:p>
          <w:p>
            <w:pPr>
              <w:adjustRightInd w:val="0"/>
              <w:snapToGrid w:val="0"/>
              <w:jc w:val="center"/>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eastAsia="zh-CN"/>
              </w:rPr>
              <w:t>及</w:t>
            </w:r>
            <w:r>
              <w:rPr>
                <w:rFonts w:hint="eastAsia" w:asciiTheme="minorEastAsia" w:hAnsiTheme="minorEastAsia" w:eastAsiaTheme="minorEastAsia" w:cstheme="minorEastAsia"/>
                <w:b w:val="0"/>
                <w:bCs w:val="0"/>
                <w:color w:val="auto"/>
                <w:kern w:val="0"/>
                <w:sz w:val="21"/>
                <w:szCs w:val="21"/>
                <w:highlight w:val="none"/>
              </w:rPr>
              <w:t>规程措施在施工前审批完成并贯彻；</w:t>
            </w:r>
            <w:r>
              <w:rPr>
                <w:rFonts w:hint="eastAsia" w:asciiTheme="minorEastAsia" w:hAnsiTheme="minorEastAsia" w:eastAsiaTheme="minorEastAsia" w:cstheme="minorEastAsia"/>
                <w:b w:val="0"/>
                <w:bCs w:val="0"/>
                <w:color w:val="auto"/>
                <w:sz w:val="21"/>
                <w:szCs w:val="21"/>
                <w:highlight w:val="none"/>
                <w:lang w:eastAsia="zh-CN"/>
              </w:rPr>
              <w:t>”</w:t>
            </w:r>
          </w:p>
          <w:p>
            <w:pPr>
              <w:adjustRightInd w:val="0"/>
              <w:snapToGrid w:val="0"/>
              <w:jc w:val="center"/>
              <w:rPr>
                <w:rFonts w:hint="eastAsia" w:asciiTheme="minorEastAsia" w:hAnsiTheme="minorEastAsia" w:eastAsiaTheme="minorEastAsia" w:cstheme="minorEastAsia"/>
                <w:b w:val="0"/>
                <w:bCs w:val="0"/>
                <w:color w:val="auto"/>
                <w:sz w:val="21"/>
                <w:szCs w:val="21"/>
                <w:highlight w:val="none"/>
                <w:lang w:eastAsia="zh-CN"/>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181" w:hRule="atLeast"/>
          <w:jc w:val="center"/>
        </w:trPr>
        <w:tc>
          <w:tcPr>
            <w:tcW w:w="964" w:type="dxa"/>
            <w:vMerge w:val="continue"/>
            <w:tcBorders>
              <w:left w:val="nil"/>
            </w:tcBorders>
            <w:noWrap w:val="0"/>
            <w:textDirection w:val="tbRlV"/>
            <w:vAlign w:val="center"/>
          </w:tcPr>
          <w:p>
            <w:pPr>
              <w:adjustRightInd w:val="0"/>
              <w:snapToGrid w:val="0"/>
              <w:ind w:left="113" w:right="113"/>
              <w:jc w:val="center"/>
              <w:rPr>
                <w:rFonts w:hint="eastAsia" w:asciiTheme="minorEastAsia" w:hAnsiTheme="minorEastAsia" w:eastAsiaTheme="minorEastAsia" w:cstheme="minorEastAsia"/>
                <w:b/>
                <w:kern w:val="0"/>
                <w:sz w:val="21"/>
                <w:szCs w:val="21"/>
                <w:highlight w:val="none"/>
              </w:rPr>
            </w:pPr>
          </w:p>
        </w:tc>
        <w:tc>
          <w:tcPr>
            <w:tcW w:w="990" w:type="dxa"/>
            <w:noWrap w:val="0"/>
            <w:vAlign w:val="center"/>
          </w:tcPr>
          <w:p>
            <w:pPr>
              <w:adjustRightInd w:val="0"/>
              <w:snapToGrid w:val="0"/>
              <w:ind w:left="315"/>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管理</w:t>
            </w:r>
          </w:p>
          <w:p>
            <w:pPr>
              <w:adjustRightInd w:val="0"/>
              <w:snapToGrid w:val="0"/>
              <w:ind w:left="315"/>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制度</w:t>
            </w:r>
          </w:p>
        </w:tc>
        <w:tc>
          <w:tcPr>
            <w:tcW w:w="4902" w:type="dxa"/>
            <w:noWrap w:val="0"/>
            <w:vAlign w:val="center"/>
          </w:tcPr>
          <w:p>
            <w:pPr>
              <w:adjustRightInd w:val="0"/>
              <w:snapToGrid w:val="0"/>
              <w:rPr>
                <w:rFonts w:hint="eastAsia" w:asciiTheme="minorEastAsia" w:hAnsiTheme="minorEastAsia" w:eastAsiaTheme="minorEastAsia" w:cstheme="minorEastAsia"/>
                <w:kern w:val="2"/>
                <w:sz w:val="21"/>
                <w:szCs w:val="21"/>
                <w:highlight w:val="none"/>
                <w:lang w:val="en-US" w:eastAsia="zh-CN" w:bidi="ar-SA"/>
              </w:rPr>
            </w:pPr>
          </w:p>
        </w:tc>
        <w:tc>
          <w:tcPr>
            <w:tcW w:w="4740" w:type="dxa"/>
            <w:noWrap w:val="0"/>
            <w:vAlign w:val="center"/>
          </w:tcPr>
          <w:p>
            <w:pPr>
              <w:adjustRightInd w:val="0"/>
              <w:snapToGrid w:val="0"/>
              <w:rPr>
                <w:rFonts w:hint="eastAsia" w:asciiTheme="minorEastAsia" w:hAnsiTheme="minorEastAsia" w:eastAsiaTheme="minorEastAsia" w:cstheme="minorEastAsia"/>
                <w:color w:val="FF0000"/>
                <w:sz w:val="21"/>
                <w:szCs w:val="21"/>
                <w:highlight w:val="none"/>
              </w:rPr>
            </w:pPr>
            <w:r>
              <w:rPr>
                <w:rFonts w:hint="eastAsia" w:asciiTheme="minorEastAsia" w:hAnsiTheme="minorEastAsia" w:eastAsiaTheme="minorEastAsia" w:cstheme="minorEastAsia"/>
                <w:color w:val="FF0000"/>
                <w:sz w:val="21"/>
                <w:szCs w:val="21"/>
                <w:highlight w:val="none"/>
              </w:rPr>
              <w:t>1.有工作面顶板管理制度，有支护质量检查、顶板动态监测和分析制度</w:t>
            </w:r>
            <w:r>
              <w:rPr>
                <w:rFonts w:hint="eastAsia" w:asciiTheme="minorEastAsia" w:hAnsiTheme="minorEastAsia" w:eastAsiaTheme="minorEastAsia" w:cstheme="minorEastAsia"/>
                <w:color w:val="FF0000"/>
                <w:kern w:val="0"/>
                <w:sz w:val="21"/>
                <w:szCs w:val="21"/>
                <w:highlight w:val="none"/>
              </w:rPr>
              <w:t>；</w:t>
            </w:r>
          </w:p>
          <w:p>
            <w:pPr>
              <w:adjustRightInd w:val="0"/>
              <w:snapToGrid w:val="0"/>
              <w:rPr>
                <w:rFonts w:hint="eastAsia" w:asciiTheme="minorEastAsia" w:hAnsiTheme="minorEastAsia" w:eastAsiaTheme="minorEastAsia" w:cstheme="minorEastAsia"/>
                <w:color w:val="FF0000"/>
                <w:sz w:val="21"/>
                <w:szCs w:val="21"/>
                <w:highlight w:val="none"/>
              </w:rPr>
            </w:pPr>
            <w:r>
              <w:rPr>
                <w:rFonts w:hint="eastAsia" w:asciiTheme="minorEastAsia" w:hAnsiTheme="minorEastAsia" w:eastAsiaTheme="minorEastAsia" w:cstheme="minorEastAsia"/>
                <w:color w:val="FF0000"/>
                <w:sz w:val="21"/>
                <w:szCs w:val="21"/>
                <w:highlight w:val="none"/>
              </w:rPr>
              <w:t>2.有采煤作业规程编制、审批、复审、贯彻、实施制度</w:t>
            </w:r>
            <w:r>
              <w:rPr>
                <w:rFonts w:hint="eastAsia" w:asciiTheme="minorEastAsia" w:hAnsiTheme="minorEastAsia" w:eastAsiaTheme="minorEastAsia" w:cstheme="minorEastAsia"/>
                <w:color w:val="FF0000"/>
                <w:kern w:val="0"/>
                <w:sz w:val="21"/>
                <w:szCs w:val="21"/>
                <w:highlight w:val="none"/>
              </w:rPr>
              <w:t>；</w:t>
            </w:r>
          </w:p>
          <w:p>
            <w:pPr>
              <w:adjustRightInd w:val="0"/>
              <w:snapToGrid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FF0000"/>
                <w:sz w:val="21"/>
                <w:szCs w:val="21"/>
                <w:highlight w:val="none"/>
              </w:rPr>
              <w:t>3.有工作面机械设备检修保养制度，乳化液泵站管理制度，文明生产管理制度，工作面支护材料、设备、配件备用制度等</w:t>
            </w:r>
          </w:p>
        </w:tc>
        <w:tc>
          <w:tcPr>
            <w:tcW w:w="2342" w:type="dxa"/>
            <w:noWrap w:val="0"/>
            <w:vAlign w:val="center"/>
          </w:tcPr>
          <w:p>
            <w:pPr>
              <w:adjustRightInd w:val="0"/>
              <w:snapToGrid w:val="0"/>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删除</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718" w:hRule="atLeast"/>
          <w:jc w:val="center"/>
        </w:trPr>
        <w:tc>
          <w:tcPr>
            <w:tcW w:w="964" w:type="dxa"/>
            <w:vMerge w:val="continue"/>
            <w:tcBorders>
              <w:left w:val="nil"/>
            </w:tcBorders>
            <w:noWrap w:val="0"/>
            <w:textDirection w:val="tbRlV"/>
            <w:vAlign w:val="center"/>
          </w:tcPr>
          <w:p>
            <w:pPr>
              <w:adjustRightInd w:val="0"/>
              <w:snapToGrid w:val="0"/>
              <w:ind w:left="113" w:right="113"/>
              <w:jc w:val="center"/>
              <w:rPr>
                <w:rFonts w:hint="eastAsia" w:asciiTheme="minorEastAsia" w:hAnsiTheme="minorEastAsia" w:eastAsiaTheme="minorEastAsia" w:cstheme="minorEastAsia"/>
                <w:b/>
                <w:kern w:val="0"/>
                <w:sz w:val="21"/>
                <w:szCs w:val="21"/>
                <w:highlight w:val="none"/>
              </w:rPr>
            </w:pPr>
          </w:p>
        </w:tc>
        <w:tc>
          <w:tcPr>
            <w:tcW w:w="990" w:type="dxa"/>
            <w:noWrap w:val="0"/>
            <w:vAlign w:val="center"/>
          </w:tcPr>
          <w:p>
            <w:pPr>
              <w:adjustRightInd w:val="0"/>
              <w:snapToGrid w:val="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支护材料</w:t>
            </w:r>
          </w:p>
        </w:tc>
        <w:tc>
          <w:tcPr>
            <w:tcW w:w="4902" w:type="dxa"/>
            <w:noWrap w:val="0"/>
            <w:vAlign w:val="center"/>
          </w:tcPr>
          <w:p>
            <w:pPr>
              <w:adjustRightInd w:val="0"/>
              <w:snapToGrid w:val="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1.单体液压支柱完好，</w:t>
            </w:r>
            <w:r>
              <w:rPr>
                <w:rFonts w:hint="eastAsia" w:asciiTheme="minorEastAsia" w:hAnsiTheme="minorEastAsia" w:eastAsiaTheme="minorEastAsia" w:cstheme="minorEastAsia"/>
                <w:color w:val="0070C0"/>
                <w:kern w:val="0"/>
                <w:sz w:val="21"/>
                <w:szCs w:val="21"/>
                <w:highlight w:val="none"/>
              </w:rPr>
              <w:t>有固定编号，单体液压支柱入井前逐根进行压力试验，</w:t>
            </w:r>
            <w:r>
              <w:rPr>
                <w:rFonts w:hint="eastAsia" w:asciiTheme="minorEastAsia" w:hAnsiTheme="minorEastAsia" w:eastAsiaTheme="minorEastAsia" w:cstheme="minorEastAsia"/>
                <w:kern w:val="0"/>
                <w:sz w:val="21"/>
                <w:szCs w:val="21"/>
                <w:highlight w:val="none"/>
              </w:rPr>
              <w:t>在工作面回采结束或使用8个月后应进行检修和压力试验，记录齐全；</w:t>
            </w:r>
          </w:p>
          <w:p>
            <w:pPr>
              <w:adjustRightInd w:val="0"/>
              <w:snapToGrid w:val="0"/>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rPr>
              <w:t>2.现场备用材料和备件，</w:t>
            </w:r>
            <w:r>
              <w:rPr>
                <w:rFonts w:hint="eastAsia" w:asciiTheme="minorEastAsia" w:hAnsiTheme="minorEastAsia" w:eastAsiaTheme="minorEastAsia" w:cstheme="minorEastAsia"/>
                <w:color w:val="0070C0"/>
                <w:kern w:val="0"/>
                <w:sz w:val="21"/>
                <w:szCs w:val="21"/>
                <w:highlight w:val="none"/>
              </w:rPr>
              <w:t>规格、型号、数量及存放地点</w:t>
            </w:r>
            <w:r>
              <w:rPr>
                <w:rFonts w:hint="eastAsia" w:asciiTheme="minorEastAsia" w:hAnsiTheme="minorEastAsia" w:eastAsiaTheme="minorEastAsia" w:cstheme="minorEastAsia"/>
                <w:kern w:val="0"/>
                <w:sz w:val="21"/>
                <w:szCs w:val="21"/>
                <w:highlight w:val="none"/>
              </w:rPr>
              <w:t>符合作业规程要求</w:t>
            </w:r>
          </w:p>
        </w:tc>
        <w:tc>
          <w:tcPr>
            <w:tcW w:w="4740" w:type="dxa"/>
            <w:noWrap w:val="0"/>
            <w:vAlign w:val="center"/>
          </w:tcPr>
          <w:p>
            <w:pPr>
              <w:adjustRightInd w:val="0"/>
              <w:snapToGrid w:val="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rPr>
              <w:t>支护材料有管理台账，单体液压支柱完好，使用8个月应进行检修和压力试验，记录齐全；现场备用支护材料和备件符合作业规程要求</w:t>
            </w:r>
          </w:p>
        </w:tc>
        <w:tc>
          <w:tcPr>
            <w:tcW w:w="2342" w:type="dxa"/>
            <w:noWrap w:val="0"/>
            <w:vAlign w:val="center"/>
          </w:tcPr>
          <w:p>
            <w:pPr>
              <w:adjustRightInd w:val="0"/>
              <w:snapToGrid w:val="0"/>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kern w:val="0"/>
                <w:sz w:val="21"/>
                <w:szCs w:val="21"/>
                <w:highlight w:val="none"/>
                <w:lang w:eastAsia="zh-CN"/>
              </w:rPr>
              <w:t>新增“</w:t>
            </w:r>
            <w:r>
              <w:rPr>
                <w:rFonts w:hint="eastAsia" w:asciiTheme="minorEastAsia" w:hAnsiTheme="minorEastAsia" w:eastAsiaTheme="minorEastAsia" w:cstheme="minorEastAsia"/>
                <w:b w:val="0"/>
                <w:bCs w:val="0"/>
                <w:color w:val="auto"/>
                <w:kern w:val="0"/>
                <w:sz w:val="21"/>
                <w:szCs w:val="21"/>
                <w:highlight w:val="none"/>
              </w:rPr>
              <w:t>单体液压支柱固定编号，单体液压支柱入井前逐根进行压力试验</w:t>
            </w:r>
            <w:r>
              <w:rPr>
                <w:rFonts w:hint="eastAsia" w:asciiTheme="minorEastAsia" w:hAnsiTheme="minorEastAsia" w:eastAsiaTheme="minorEastAsia" w:cstheme="minorEastAsia"/>
                <w:b w:val="0"/>
                <w:bCs w:val="0"/>
                <w:color w:val="auto"/>
                <w:kern w:val="0"/>
                <w:sz w:val="21"/>
                <w:szCs w:val="21"/>
                <w:highlight w:val="none"/>
                <w:lang w:eastAsia="zh-CN"/>
              </w:rPr>
              <w:t>；</w:t>
            </w:r>
            <w:r>
              <w:rPr>
                <w:rFonts w:hint="eastAsia" w:asciiTheme="minorEastAsia" w:hAnsiTheme="minorEastAsia" w:eastAsiaTheme="minorEastAsia" w:cstheme="minorEastAsia"/>
                <w:b w:val="0"/>
                <w:bCs w:val="0"/>
                <w:color w:val="auto"/>
                <w:kern w:val="0"/>
                <w:sz w:val="21"/>
                <w:szCs w:val="21"/>
                <w:highlight w:val="none"/>
              </w:rPr>
              <w:t>现场备用材料和备件，规格、型号、数量及存放地点符合作业规程要求</w:t>
            </w:r>
            <w:r>
              <w:rPr>
                <w:rFonts w:hint="eastAsia" w:asciiTheme="minorEastAsia" w:hAnsiTheme="minorEastAsia" w:eastAsiaTheme="minorEastAsia" w:cstheme="minorEastAsia"/>
                <w:b w:val="0"/>
                <w:bCs w:val="0"/>
                <w:color w:val="auto"/>
                <w:kern w:val="0"/>
                <w:sz w:val="21"/>
                <w:szCs w:val="21"/>
                <w:highlight w:val="none"/>
                <w:lang w:eastAsia="zh-CN"/>
              </w:rPr>
              <w:t>”。</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837" w:hRule="atLeast"/>
          <w:jc w:val="center"/>
        </w:trPr>
        <w:tc>
          <w:tcPr>
            <w:tcW w:w="964" w:type="dxa"/>
            <w:vMerge w:val="continue"/>
            <w:tcBorders>
              <w:left w:val="nil"/>
            </w:tcBorders>
            <w:noWrap w:val="0"/>
            <w:textDirection w:val="tbRlV"/>
            <w:vAlign w:val="center"/>
          </w:tcPr>
          <w:p>
            <w:pPr>
              <w:adjustRightInd w:val="0"/>
              <w:snapToGrid w:val="0"/>
              <w:ind w:left="113" w:right="113"/>
              <w:jc w:val="center"/>
              <w:rPr>
                <w:rFonts w:hint="eastAsia" w:asciiTheme="minorEastAsia" w:hAnsiTheme="minorEastAsia" w:eastAsiaTheme="minorEastAsia" w:cstheme="minorEastAsia"/>
                <w:b/>
                <w:kern w:val="0"/>
                <w:sz w:val="21"/>
                <w:szCs w:val="21"/>
                <w:highlight w:val="none"/>
              </w:rPr>
            </w:pPr>
          </w:p>
        </w:tc>
        <w:tc>
          <w:tcPr>
            <w:tcW w:w="990" w:type="dxa"/>
            <w:noWrap w:val="0"/>
            <w:vAlign w:val="center"/>
          </w:tcPr>
          <w:p>
            <w:pPr>
              <w:adjustRightInd w:val="0"/>
              <w:snapToGrid w:val="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采煤机械化</w:t>
            </w:r>
          </w:p>
        </w:tc>
        <w:tc>
          <w:tcPr>
            <w:tcW w:w="4902" w:type="dxa"/>
            <w:noWrap w:val="0"/>
            <w:vAlign w:val="center"/>
          </w:tcPr>
          <w:p>
            <w:pPr>
              <w:adjustRightInd w:val="0"/>
              <w:snapToGrid w:val="0"/>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rPr>
              <w:t>采用综合机械化开采</w:t>
            </w:r>
          </w:p>
        </w:tc>
        <w:tc>
          <w:tcPr>
            <w:tcW w:w="4740" w:type="dxa"/>
            <w:noWrap w:val="0"/>
            <w:vAlign w:val="center"/>
          </w:tcPr>
          <w:p>
            <w:pPr>
              <w:adjustRightInd w:val="0"/>
              <w:snapToGrid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采煤工作面采用机械化开采</w:t>
            </w:r>
          </w:p>
        </w:tc>
        <w:tc>
          <w:tcPr>
            <w:tcW w:w="2342" w:type="dxa"/>
            <w:noWrap w:val="0"/>
            <w:vAlign w:val="center"/>
          </w:tcPr>
          <w:p>
            <w:pPr>
              <w:adjustRightInd w:val="0"/>
              <w:snapToGrid w:val="0"/>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964" w:type="dxa"/>
            <w:vMerge w:val="continue"/>
            <w:tcBorders>
              <w:left w:val="nil"/>
            </w:tcBorders>
            <w:noWrap w:val="0"/>
            <w:textDirection w:val="tbRlV"/>
            <w:vAlign w:val="center"/>
          </w:tcPr>
          <w:p>
            <w:pPr>
              <w:adjustRightInd w:val="0"/>
              <w:snapToGrid w:val="0"/>
              <w:ind w:left="113" w:right="113"/>
              <w:jc w:val="center"/>
              <w:rPr>
                <w:rFonts w:hint="eastAsia" w:asciiTheme="minorEastAsia" w:hAnsiTheme="minorEastAsia" w:eastAsiaTheme="minorEastAsia" w:cstheme="minorEastAsia"/>
                <w:b/>
                <w:kern w:val="0"/>
                <w:sz w:val="21"/>
                <w:szCs w:val="21"/>
                <w:highlight w:val="none"/>
              </w:rPr>
            </w:pPr>
          </w:p>
        </w:tc>
        <w:tc>
          <w:tcPr>
            <w:tcW w:w="990" w:type="dxa"/>
            <w:noWrap w:val="0"/>
            <w:vAlign w:val="center"/>
          </w:tcPr>
          <w:p>
            <w:pPr>
              <w:adjustRightInd w:val="0"/>
              <w:snapToGrid w:val="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系统优化</w:t>
            </w:r>
          </w:p>
        </w:tc>
        <w:tc>
          <w:tcPr>
            <w:tcW w:w="4902" w:type="dxa"/>
            <w:noWrap w:val="0"/>
            <w:vAlign w:val="center"/>
          </w:tcPr>
          <w:p>
            <w:pPr>
              <w:adjustRightInd w:val="0"/>
              <w:snapToGrid w:val="0"/>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按批准的设计布置采煤工作面，个数符合《煤矿安全规程》要求。</w:t>
            </w:r>
          </w:p>
        </w:tc>
        <w:tc>
          <w:tcPr>
            <w:tcW w:w="4740" w:type="dxa"/>
            <w:noWrap w:val="0"/>
            <w:vAlign w:val="center"/>
          </w:tcPr>
          <w:p>
            <w:pPr>
              <w:adjustRightInd w:val="0"/>
              <w:snapToGrid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采用“一井一面”或“一井两面”生产模式</w:t>
            </w:r>
          </w:p>
        </w:tc>
        <w:tc>
          <w:tcPr>
            <w:tcW w:w="2342" w:type="dxa"/>
            <w:noWrap w:val="0"/>
            <w:vAlign w:val="center"/>
          </w:tcPr>
          <w:p>
            <w:pPr>
              <w:adjustRightInd w:val="0"/>
              <w:snapToGrid w:val="0"/>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kern w:val="0"/>
                <w:sz w:val="21"/>
                <w:szCs w:val="21"/>
                <w:highlight w:val="none"/>
                <w:lang w:eastAsia="zh-CN"/>
              </w:rPr>
              <w:t>更换说法</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105" w:hRule="atLeast"/>
          <w:jc w:val="center"/>
        </w:trPr>
        <w:tc>
          <w:tcPr>
            <w:tcW w:w="964" w:type="dxa"/>
            <w:vMerge w:val="restart"/>
            <w:tcBorders>
              <w:left w:val="nil"/>
            </w:tcBorders>
            <w:noWrap w:val="0"/>
            <w:textDirection w:val="tbRlV"/>
            <w:vAlign w:val="center"/>
          </w:tcPr>
          <w:p>
            <w:pPr>
              <w:pStyle w:val="13"/>
              <w:adjustRightInd w:val="0"/>
              <w:snapToGrid w:val="0"/>
              <w:ind w:right="113" w:firstLine="0" w:firstLineChars="0"/>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pacing w:val="40"/>
                <w:sz w:val="21"/>
                <w:szCs w:val="21"/>
                <w:highlight w:val="none"/>
              </w:rPr>
              <w:t xml:space="preserve">             二、质量与安全（50分）</w:t>
            </w:r>
          </w:p>
        </w:tc>
        <w:tc>
          <w:tcPr>
            <w:tcW w:w="990" w:type="dxa"/>
            <w:vMerge w:val="restart"/>
            <w:noWrap w:val="0"/>
            <w:vAlign w:val="center"/>
          </w:tcPr>
          <w:p>
            <w:pPr>
              <w:adjustRightInd w:val="0"/>
              <w:snapToGrid w:val="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顶板管理</w:t>
            </w:r>
          </w:p>
        </w:tc>
        <w:tc>
          <w:tcPr>
            <w:tcW w:w="4902" w:type="dxa"/>
            <w:noWrap w:val="0"/>
            <w:vAlign w:val="center"/>
          </w:tcPr>
          <w:p>
            <w:pPr>
              <w:adjustRightInd w:val="0"/>
              <w:snapToGrid w:val="0"/>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rPr>
              <w:t>工作面液压支架初撑力不低于额定值的80%，现场每台支架有检测仪表；单体液压支柱初撑力符合《煤矿安全规程》要求</w:t>
            </w:r>
          </w:p>
        </w:tc>
        <w:tc>
          <w:tcPr>
            <w:tcW w:w="4740" w:type="dxa"/>
            <w:noWrap w:val="0"/>
            <w:vAlign w:val="center"/>
          </w:tcPr>
          <w:p>
            <w:pPr>
              <w:pStyle w:val="14"/>
              <w:snapToGrid w:val="0"/>
              <w:jc w:val="both"/>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z w:val="21"/>
                <w:szCs w:val="21"/>
                <w:highlight w:val="none"/>
              </w:rPr>
              <w:t>1.工作面液压支架初撑力不低于额定值的80%，现场每台支架有检测仪表；单体液压支柱初撑力符合《煤矿安全规程》要求</w:t>
            </w:r>
          </w:p>
        </w:tc>
        <w:tc>
          <w:tcPr>
            <w:tcW w:w="2342" w:type="dxa"/>
            <w:noWrap w:val="0"/>
            <w:vAlign w:val="center"/>
          </w:tcPr>
          <w:p>
            <w:pPr>
              <w:adjustRightInd w:val="0"/>
              <w:snapToGrid w:val="0"/>
              <w:jc w:val="center"/>
              <w:rPr>
                <w:rFonts w:hint="eastAsia" w:asciiTheme="minorEastAsia" w:hAnsiTheme="minorEastAsia" w:eastAsiaTheme="minorEastAsia" w:cstheme="minorEastAsia"/>
                <w:b w:val="0"/>
                <w:bCs w:val="0"/>
                <w:color w:val="auto"/>
                <w:kern w:val="0"/>
                <w:sz w:val="21"/>
                <w:szCs w:val="21"/>
                <w:highlight w:val="none"/>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450" w:hRule="atLeast"/>
          <w:jc w:val="center"/>
        </w:trPr>
        <w:tc>
          <w:tcPr>
            <w:tcW w:w="964" w:type="dxa"/>
            <w:vMerge w:val="continue"/>
            <w:tcBorders>
              <w:left w:val="nil"/>
            </w:tcBorders>
            <w:noWrap w:val="0"/>
            <w:textDirection w:val="tbRlV"/>
            <w:vAlign w:val="center"/>
          </w:tcPr>
          <w:p>
            <w:pPr>
              <w:adjustRightInd w:val="0"/>
              <w:snapToGrid w:val="0"/>
              <w:ind w:left="113" w:right="113"/>
              <w:jc w:val="center"/>
              <w:rPr>
                <w:rFonts w:hint="eastAsia" w:asciiTheme="minorEastAsia" w:hAnsiTheme="minorEastAsia" w:eastAsiaTheme="minorEastAsia" w:cstheme="minorEastAsia"/>
                <w:b/>
                <w:kern w:val="0"/>
                <w:sz w:val="21"/>
                <w:szCs w:val="21"/>
                <w:highlight w:val="none"/>
              </w:rPr>
            </w:pPr>
          </w:p>
        </w:tc>
        <w:tc>
          <w:tcPr>
            <w:tcW w:w="990" w:type="dxa"/>
            <w:vMerge w:val="continue"/>
            <w:noWrap w:val="0"/>
            <w:vAlign w:val="center"/>
          </w:tcPr>
          <w:p>
            <w:pPr>
              <w:pStyle w:val="14"/>
              <w:snapToGrid w:val="0"/>
              <w:jc w:val="both"/>
              <w:rPr>
                <w:rFonts w:hint="eastAsia" w:asciiTheme="minorEastAsia" w:hAnsiTheme="minorEastAsia" w:eastAsiaTheme="minorEastAsia" w:cstheme="minorEastAsia"/>
                <w:b/>
                <w:kern w:val="2"/>
                <w:sz w:val="21"/>
                <w:szCs w:val="21"/>
                <w:highlight w:val="none"/>
              </w:rPr>
            </w:pPr>
          </w:p>
        </w:tc>
        <w:tc>
          <w:tcPr>
            <w:tcW w:w="4902" w:type="dxa"/>
            <w:noWrap w:val="0"/>
            <w:vAlign w:val="center"/>
          </w:tcPr>
          <w:p>
            <w:pPr>
              <w:adjustRightInd w:val="0"/>
              <w:snapToGrid w:val="0"/>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rPr>
              <w:t>工作面支架中心距（支柱间排距）偏差不大于100mm</w:t>
            </w:r>
            <w:r>
              <w:rPr>
                <w:rFonts w:hint="eastAsia" w:asciiTheme="minorEastAsia" w:hAnsiTheme="minorEastAsia" w:eastAsiaTheme="minorEastAsia" w:cstheme="minorEastAsia"/>
                <w:spacing w:val="18"/>
                <w:sz w:val="21"/>
                <w:szCs w:val="21"/>
                <w:highlight w:val="none"/>
              </w:rPr>
              <w:t>；</w:t>
            </w:r>
            <w:r>
              <w:rPr>
                <w:rFonts w:hint="eastAsia" w:asciiTheme="minorEastAsia" w:hAnsiTheme="minorEastAsia" w:eastAsiaTheme="minorEastAsia" w:cstheme="minorEastAsia"/>
                <w:kern w:val="0"/>
                <w:sz w:val="21"/>
                <w:szCs w:val="21"/>
                <w:highlight w:val="none"/>
              </w:rPr>
              <w:t>侧护板正常使用，架间间隙不大于100mm；</w:t>
            </w:r>
            <w:r>
              <w:rPr>
                <w:rFonts w:hint="eastAsia" w:asciiTheme="minorEastAsia" w:hAnsiTheme="minorEastAsia" w:eastAsiaTheme="minorEastAsia" w:cstheme="minorEastAsia"/>
                <w:color w:val="0070C0"/>
                <w:kern w:val="0"/>
                <w:sz w:val="21"/>
                <w:szCs w:val="21"/>
                <w:highlight w:val="none"/>
              </w:rPr>
              <w:t>工作面煤壁、刮板输送机、支架（支柱）保持直线，</w:t>
            </w:r>
            <w:r>
              <w:rPr>
                <w:rFonts w:hint="eastAsia" w:asciiTheme="minorEastAsia" w:hAnsiTheme="minorEastAsia" w:eastAsiaTheme="minorEastAsia" w:cstheme="minorEastAsia"/>
                <w:kern w:val="0"/>
                <w:sz w:val="21"/>
                <w:szCs w:val="21"/>
                <w:highlight w:val="none"/>
              </w:rPr>
              <w:t>支架（支柱）直线偏差不超过50mm</w:t>
            </w:r>
          </w:p>
        </w:tc>
        <w:tc>
          <w:tcPr>
            <w:tcW w:w="4740" w:type="dxa"/>
            <w:noWrap w:val="0"/>
            <w:vAlign w:val="center"/>
          </w:tcPr>
          <w:p>
            <w:pPr>
              <w:pStyle w:val="14"/>
              <w:snapToGrid w:val="0"/>
              <w:jc w:val="both"/>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z w:val="21"/>
                <w:szCs w:val="21"/>
                <w:highlight w:val="none"/>
              </w:rPr>
              <w:t>2.工作面支架中心距（支柱间排距）偏差不超过100 mm，侧护板正常使用，架间间隙不超过100 mm（单体支柱间距偏差不超过100 mm）；支架（支柱）不超高使用，支架（支柱）高度与采高相匹配，控制在作业规程规定的范围内，支架的活柱行程余量不小于200mm（企业特殊定制支架、支柱以其技术指标为准）</w:t>
            </w:r>
          </w:p>
        </w:tc>
        <w:tc>
          <w:tcPr>
            <w:tcW w:w="2342" w:type="dxa"/>
            <w:noWrap w:val="0"/>
            <w:vAlign w:val="center"/>
          </w:tcPr>
          <w:p>
            <w:pPr>
              <w:adjustRightInd w:val="0"/>
              <w:snapToGrid w:val="0"/>
              <w:jc w:val="center"/>
              <w:rPr>
                <w:rFonts w:hint="eastAsia" w:asciiTheme="minorEastAsia" w:hAnsiTheme="minorEastAsia" w:eastAsiaTheme="minorEastAsia" w:cstheme="minorEastAsia"/>
                <w:b w:val="0"/>
                <w:bCs w:val="0"/>
                <w:color w:val="auto"/>
                <w:kern w:val="0"/>
                <w:sz w:val="21"/>
                <w:szCs w:val="21"/>
                <w:highlight w:val="none"/>
                <w:lang w:eastAsia="zh-CN"/>
              </w:rPr>
            </w:pPr>
            <w:r>
              <w:rPr>
                <w:rFonts w:hint="eastAsia" w:asciiTheme="minorEastAsia" w:hAnsiTheme="minorEastAsia" w:eastAsiaTheme="minorEastAsia" w:cstheme="minorEastAsia"/>
                <w:b w:val="0"/>
                <w:bCs w:val="0"/>
                <w:color w:val="auto"/>
                <w:kern w:val="0"/>
                <w:sz w:val="21"/>
                <w:szCs w:val="21"/>
                <w:highlight w:val="none"/>
                <w:lang w:eastAsia="zh-CN"/>
              </w:rPr>
              <w:t>新增</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450" w:hRule="atLeast"/>
          <w:jc w:val="center"/>
        </w:trPr>
        <w:tc>
          <w:tcPr>
            <w:tcW w:w="964" w:type="dxa"/>
            <w:vMerge w:val="continue"/>
            <w:tcBorders>
              <w:left w:val="nil"/>
            </w:tcBorders>
            <w:noWrap w:val="0"/>
            <w:textDirection w:val="tbRlV"/>
            <w:vAlign w:val="center"/>
          </w:tcPr>
          <w:p>
            <w:pPr>
              <w:adjustRightInd w:val="0"/>
              <w:snapToGrid w:val="0"/>
              <w:ind w:left="113" w:right="113"/>
              <w:jc w:val="center"/>
              <w:rPr>
                <w:rFonts w:hint="eastAsia" w:asciiTheme="minorEastAsia" w:hAnsiTheme="minorEastAsia" w:eastAsiaTheme="minorEastAsia" w:cstheme="minorEastAsia"/>
                <w:b/>
                <w:kern w:val="0"/>
                <w:sz w:val="21"/>
                <w:szCs w:val="21"/>
                <w:highlight w:val="none"/>
              </w:rPr>
            </w:pPr>
          </w:p>
        </w:tc>
        <w:tc>
          <w:tcPr>
            <w:tcW w:w="990" w:type="dxa"/>
            <w:vMerge w:val="continue"/>
            <w:noWrap w:val="0"/>
            <w:vAlign w:val="center"/>
          </w:tcPr>
          <w:p>
            <w:pPr>
              <w:pStyle w:val="14"/>
              <w:snapToGrid w:val="0"/>
              <w:jc w:val="both"/>
              <w:rPr>
                <w:rFonts w:hint="eastAsia" w:asciiTheme="minorEastAsia" w:hAnsiTheme="minorEastAsia" w:eastAsiaTheme="minorEastAsia" w:cstheme="minorEastAsia"/>
                <w:b/>
                <w:kern w:val="2"/>
                <w:sz w:val="21"/>
                <w:szCs w:val="21"/>
                <w:highlight w:val="none"/>
              </w:rPr>
            </w:pPr>
          </w:p>
        </w:tc>
        <w:tc>
          <w:tcPr>
            <w:tcW w:w="4902" w:type="dxa"/>
            <w:noWrap w:val="0"/>
            <w:vAlign w:val="center"/>
          </w:tcPr>
          <w:p>
            <w:pPr>
              <w:adjustRightInd w:val="0"/>
              <w:snapToGrid w:val="0"/>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rPr>
              <w:t>液压支架接顶严实，支架不挤不咬，架间高差不超过侧护板高2/3；采高大于3.0m或片帮严重时，液压支架设护帮板；</w:t>
            </w:r>
            <w:r>
              <w:rPr>
                <w:rFonts w:hint="eastAsia" w:asciiTheme="minorEastAsia" w:hAnsiTheme="minorEastAsia" w:eastAsiaTheme="minorEastAsia" w:cstheme="minorEastAsia"/>
                <w:color w:val="0070C0"/>
                <w:kern w:val="0"/>
                <w:sz w:val="21"/>
                <w:szCs w:val="21"/>
                <w:highlight w:val="none"/>
              </w:rPr>
              <w:t>采高大于4.5m时，有防片帮伤人措施；</w:t>
            </w:r>
            <w:r>
              <w:rPr>
                <w:rFonts w:hint="eastAsia" w:asciiTheme="minorEastAsia" w:hAnsiTheme="minorEastAsia" w:eastAsiaTheme="minorEastAsia" w:cstheme="minorEastAsia"/>
                <w:kern w:val="0"/>
                <w:sz w:val="21"/>
                <w:szCs w:val="21"/>
                <w:highlight w:val="none"/>
              </w:rPr>
              <w:t>支架前梁（伸缩梁）梁端至煤壁顶板垮落高度符合作业规程要求。高档普采（炮采）工作面机道梁端至煤壁顶板垮落高度不大于200mm，超过200mm时采取有效措施，</w:t>
            </w:r>
            <w:r>
              <w:rPr>
                <w:rFonts w:hint="eastAsia" w:asciiTheme="minorEastAsia" w:hAnsiTheme="minorEastAsia" w:eastAsiaTheme="minorEastAsia" w:cstheme="minorEastAsia"/>
                <w:color w:val="0070C0"/>
                <w:kern w:val="0"/>
                <w:sz w:val="21"/>
                <w:szCs w:val="21"/>
                <w:highlight w:val="none"/>
              </w:rPr>
              <w:t>采空区侧挡矸有效</w:t>
            </w:r>
          </w:p>
        </w:tc>
        <w:tc>
          <w:tcPr>
            <w:tcW w:w="4740" w:type="dxa"/>
            <w:noWrap w:val="0"/>
            <w:vAlign w:val="center"/>
          </w:tcPr>
          <w:p>
            <w:pPr>
              <w:pStyle w:val="14"/>
              <w:snapToGrid w:val="0"/>
              <w:jc w:val="both"/>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z w:val="21"/>
                <w:szCs w:val="21"/>
                <w:highlight w:val="none"/>
              </w:rPr>
              <w:t>3.液压支架接顶严实，相邻支架（支柱）顶梁平整，无明显错茬（不超过顶梁侧护板高的2/3），支架不挤不咬；采高大于3.0m或片帮严重时，应有防片帮措施；支架前梁（伸缩梁）梁端至煤壁顶板垮落高度不大于300mm。高档普采（炮采）工作面机道梁端至煤壁顶板垮落高度不大于200mm，超过200mm时采取有效措施</w:t>
            </w:r>
          </w:p>
        </w:tc>
        <w:tc>
          <w:tcPr>
            <w:tcW w:w="2342" w:type="dxa"/>
            <w:noWrap w:val="0"/>
            <w:vAlign w:val="center"/>
          </w:tcPr>
          <w:p>
            <w:pPr>
              <w:adjustRightInd w:val="0"/>
              <w:snapToGrid w:val="0"/>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eastAsia="zh-CN"/>
              </w:rPr>
              <w:t>新增</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643" w:hRule="atLeast"/>
          <w:jc w:val="center"/>
        </w:trPr>
        <w:tc>
          <w:tcPr>
            <w:tcW w:w="964" w:type="dxa"/>
            <w:vMerge w:val="continue"/>
            <w:tcBorders>
              <w:left w:val="nil"/>
            </w:tcBorders>
            <w:noWrap w:val="0"/>
            <w:textDirection w:val="tbRlV"/>
            <w:vAlign w:val="center"/>
          </w:tcPr>
          <w:p>
            <w:pPr>
              <w:adjustRightInd w:val="0"/>
              <w:snapToGrid w:val="0"/>
              <w:ind w:left="113" w:right="113"/>
              <w:jc w:val="center"/>
              <w:rPr>
                <w:rFonts w:hint="eastAsia" w:asciiTheme="minorEastAsia" w:hAnsiTheme="minorEastAsia" w:eastAsiaTheme="minorEastAsia" w:cstheme="minorEastAsia"/>
                <w:b/>
                <w:kern w:val="0"/>
                <w:sz w:val="21"/>
                <w:szCs w:val="21"/>
                <w:highlight w:val="none"/>
              </w:rPr>
            </w:pPr>
          </w:p>
        </w:tc>
        <w:tc>
          <w:tcPr>
            <w:tcW w:w="990" w:type="dxa"/>
            <w:vMerge w:val="continue"/>
            <w:noWrap w:val="0"/>
            <w:vAlign w:val="center"/>
          </w:tcPr>
          <w:p>
            <w:pPr>
              <w:pStyle w:val="14"/>
              <w:snapToGrid w:val="0"/>
              <w:jc w:val="both"/>
              <w:rPr>
                <w:rFonts w:hint="eastAsia" w:asciiTheme="minorEastAsia" w:hAnsiTheme="minorEastAsia" w:eastAsiaTheme="minorEastAsia" w:cstheme="minorEastAsia"/>
                <w:b/>
                <w:kern w:val="2"/>
                <w:sz w:val="21"/>
                <w:szCs w:val="21"/>
                <w:highlight w:val="none"/>
              </w:rPr>
            </w:pPr>
          </w:p>
        </w:tc>
        <w:tc>
          <w:tcPr>
            <w:tcW w:w="4902" w:type="dxa"/>
            <w:noWrap w:val="0"/>
            <w:vAlign w:val="center"/>
          </w:tcPr>
          <w:p>
            <w:pPr>
              <w:adjustRightInd w:val="0"/>
              <w:snapToGrid w:val="0"/>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rPr>
              <w:t>液压支架顶梁与顶板平行，最大仰俯角不大于7°（遇断层、构造带、空巷、应力集中区等，在保证支护强度条件下，满足作业规程或专项安全措施要求）；支架垂直顶底板，歪斜角不大于5°；支柱迎山角符合要求</w:t>
            </w:r>
          </w:p>
        </w:tc>
        <w:tc>
          <w:tcPr>
            <w:tcW w:w="4740" w:type="dxa"/>
            <w:noWrap w:val="0"/>
            <w:vAlign w:val="center"/>
          </w:tcPr>
          <w:p>
            <w:pPr>
              <w:pStyle w:val="14"/>
              <w:snapToGrid w:val="0"/>
              <w:jc w:val="both"/>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z w:val="21"/>
                <w:szCs w:val="21"/>
                <w:highlight w:val="none"/>
              </w:rPr>
              <w:t>4.支架顶梁与顶板平行,最大仰俯角不大于7°（遇断层、构造带、应力集中区在保证支护强度条件下，应满足作业规程或专项安全措施要求）；支架垂直顶底板，歪斜角不大于5°；支柱迎山角符合作业规程规定</w:t>
            </w:r>
          </w:p>
        </w:tc>
        <w:tc>
          <w:tcPr>
            <w:tcW w:w="2342" w:type="dxa"/>
            <w:noWrap w:val="0"/>
            <w:vAlign w:val="center"/>
          </w:tcPr>
          <w:p>
            <w:pPr>
              <w:adjustRightInd w:val="0"/>
              <w:snapToGrid w:val="0"/>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450" w:hRule="atLeast"/>
          <w:jc w:val="center"/>
        </w:trPr>
        <w:tc>
          <w:tcPr>
            <w:tcW w:w="964" w:type="dxa"/>
            <w:vMerge w:val="continue"/>
            <w:tcBorders>
              <w:left w:val="nil"/>
            </w:tcBorders>
            <w:noWrap w:val="0"/>
            <w:textDirection w:val="tbRlV"/>
            <w:vAlign w:val="center"/>
          </w:tcPr>
          <w:p>
            <w:pPr>
              <w:adjustRightInd w:val="0"/>
              <w:snapToGrid w:val="0"/>
              <w:ind w:left="113" w:right="113"/>
              <w:jc w:val="center"/>
              <w:rPr>
                <w:rFonts w:hint="eastAsia" w:asciiTheme="minorEastAsia" w:hAnsiTheme="minorEastAsia" w:eastAsiaTheme="minorEastAsia" w:cstheme="minorEastAsia"/>
                <w:b/>
                <w:kern w:val="0"/>
                <w:sz w:val="21"/>
                <w:szCs w:val="21"/>
                <w:highlight w:val="none"/>
              </w:rPr>
            </w:pPr>
          </w:p>
        </w:tc>
        <w:tc>
          <w:tcPr>
            <w:tcW w:w="990" w:type="dxa"/>
            <w:vMerge w:val="continue"/>
            <w:noWrap w:val="0"/>
            <w:vAlign w:val="center"/>
          </w:tcPr>
          <w:p>
            <w:pPr>
              <w:pStyle w:val="14"/>
              <w:snapToGrid w:val="0"/>
              <w:jc w:val="both"/>
              <w:rPr>
                <w:rFonts w:hint="eastAsia" w:asciiTheme="minorEastAsia" w:hAnsiTheme="minorEastAsia" w:eastAsiaTheme="minorEastAsia" w:cstheme="minorEastAsia"/>
                <w:b/>
                <w:kern w:val="2"/>
                <w:sz w:val="21"/>
                <w:szCs w:val="21"/>
                <w:highlight w:val="none"/>
              </w:rPr>
            </w:pPr>
          </w:p>
        </w:tc>
        <w:tc>
          <w:tcPr>
            <w:tcW w:w="4902" w:type="dxa"/>
            <w:noWrap w:val="0"/>
            <w:vAlign w:val="center"/>
          </w:tcPr>
          <w:p>
            <w:pPr>
              <w:adjustRightInd w:val="0"/>
              <w:snapToGrid w:val="0"/>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rPr>
              <w:t>工作面液压支架（支柱顶梁）端面距符合作业规程要求。工作面伞檐长度大于1m时，其最大突出部分，薄煤层不超过150mm，中厚以上煤层不超过200mm；伞檐长度在1m及以下时，最突出部分薄煤层不超过200mm，中厚以上煤层不超过250mm</w:t>
            </w:r>
          </w:p>
        </w:tc>
        <w:tc>
          <w:tcPr>
            <w:tcW w:w="4740" w:type="dxa"/>
            <w:noWrap w:val="0"/>
            <w:vAlign w:val="center"/>
          </w:tcPr>
          <w:p>
            <w:pPr>
              <w:pStyle w:val="14"/>
              <w:snapToGrid w:val="0"/>
              <w:jc w:val="both"/>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z w:val="21"/>
                <w:szCs w:val="21"/>
                <w:highlight w:val="none"/>
              </w:rPr>
              <w:t>5.工作面液压支架（支柱顶梁）端面距符合作业规程规定。工作面“三直一平”，液压支架（支柱）排成一条直线，其偏差不超过50mm。工作面伞檐长度大于1m时，其最大突出部分，薄煤层不超过150mm，中厚以上煤层不超过200mm；伞檐长度在1m及以下时，最突出部分薄煤层不超过200mm，中厚煤层不超过250mm</w:t>
            </w:r>
          </w:p>
        </w:tc>
        <w:tc>
          <w:tcPr>
            <w:tcW w:w="2342" w:type="dxa"/>
            <w:noWrap w:val="0"/>
            <w:vAlign w:val="center"/>
          </w:tcPr>
          <w:p>
            <w:pPr>
              <w:adjustRightInd w:val="0"/>
              <w:snapToGrid w:val="0"/>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660" w:hRule="atLeast"/>
          <w:jc w:val="center"/>
        </w:trPr>
        <w:tc>
          <w:tcPr>
            <w:tcW w:w="964" w:type="dxa"/>
            <w:vMerge w:val="continue"/>
            <w:tcBorders>
              <w:left w:val="nil"/>
            </w:tcBorders>
            <w:noWrap w:val="0"/>
            <w:textDirection w:val="tbRlV"/>
            <w:vAlign w:val="center"/>
          </w:tcPr>
          <w:p>
            <w:pPr>
              <w:adjustRightInd w:val="0"/>
              <w:snapToGrid w:val="0"/>
              <w:ind w:left="113" w:right="113"/>
              <w:jc w:val="center"/>
              <w:rPr>
                <w:rFonts w:hint="eastAsia" w:asciiTheme="minorEastAsia" w:hAnsiTheme="minorEastAsia" w:eastAsiaTheme="minorEastAsia" w:cstheme="minorEastAsia"/>
                <w:b/>
                <w:kern w:val="0"/>
                <w:sz w:val="21"/>
                <w:szCs w:val="21"/>
                <w:highlight w:val="none"/>
              </w:rPr>
            </w:pPr>
          </w:p>
        </w:tc>
        <w:tc>
          <w:tcPr>
            <w:tcW w:w="990" w:type="dxa"/>
            <w:vMerge w:val="continue"/>
            <w:noWrap w:val="0"/>
            <w:vAlign w:val="center"/>
          </w:tcPr>
          <w:p>
            <w:pPr>
              <w:pStyle w:val="14"/>
              <w:snapToGrid w:val="0"/>
              <w:jc w:val="both"/>
              <w:rPr>
                <w:rFonts w:hint="eastAsia" w:asciiTheme="minorEastAsia" w:hAnsiTheme="minorEastAsia" w:eastAsiaTheme="minorEastAsia" w:cstheme="minorEastAsia"/>
                <w:b/>
                <w:kern w:val="2"/>
                <w:sz w:val="21"/>
                <w:szCs w:val="21"/>
                <w:highlight w:val="none"/>
              </w:rPr>
            </w:pPr>
          </w:p>
        </w:tc>
        <w:tc>
          <w:tcPr>
            <w:tcW w:w="4902" w:type="dxa"/>
            <w:noWrap w:val="0"/>
            <w:vAlign w:val="center"/>
          </w:tcPr>
          <w:p>
            <w:pPr>
              <w:adjustRightInd w:val="0"/>
              <w:snapToGrid w:val="0"/>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rPr>
              <w:t>工作面支架（支柱）及</w:t>
            </w:r>
            <w:r>
              <w:rPr>
                <w:rFonts w:hint="eastAsia" w:asciiTheme="minorEastAsia" w:hAnsiTheme="minorEastAsia" w:eastAsiaTheme="minorEastAsia" w:cstheme="minorEastAsia"/>
                <w:color w:val="0070C0"/>
                <w:kern w:val="0"/>
                <w:sz w:val="21"/>
                <w:szCs w:val="21"/>
                <w:highlight w:val="none"/>
              </w:rPr>
              <w:t>超前支护编号管理</w:t>
            </w:r>
            <w:r>
              <w:rPr>
                <w:rFonts w:hint="eastAsia" w:asciiTheme="minorEastAsia" w:hAnsiTheme="minorEastAsia" w:eastAsiaTheme="minorEastAsia" w:cstheme="minorEastAsia"/>
                <w:kern w:val="0"/>
                <w:sz w:val="21"/>
                <w:szCs w:val="21"/>
                <w:highlight w:val="none"/>
              </w:rPr>
              <w:t>，牌号清晰</w:t>
            </w:r>
          </w:p>
        </w:tc>
        <w:tc>
          <w:tcPr>
            <w:tcW w:w="4740" w:type="dxa"/>
            <w:noWrap w:val="0"/>
            <w:vAlign w:val="center"/>
          </w:tcPr>
          <w:p>
            <w:pPr>
              <w:pStyle w:val="14"/>
              <w:snapToGrid w:val="0"/>
              <w:jc w:val="both"/>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z w:val="21"/>
                <w:szCs w:val="21"/>
                <w:highlight w:val="none"/>
              </w:rPr>
              <w:t>6.工作面内液压支架（支柱）编号管理，牌号清晰</w:t>
            </w:r>
          </w:p>
        </w:tc>
        <w:tc>
          <w:tcPr>
            <w:tcW w:w="2342" w:type="dxa"/>
            <w:noWrap w:val="0"/>
            <w:vAlign w:val="center"/>
          </w:tcPr>
          <w:p>
            <w:pPr>
              <w:adjustRightInd w:val="0"/>
              <w:snapToGrid w:val="0"/>
              <w:jc w:val="center"/>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eastAsia="zh-CN"/>
              </w:rPr>
              <w:t>新增</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373" w:hRule="atLeast"/>
          <w:jc w:val="center"/>
        </w:trPr>
        <w:tc>
          <w:tcPr>
            <w:tcW w:w="964" w:type="dxa"/>
            <w:vMerge w:val="continue"/>
            <w:tcBorders>
              <w:left w:val="nil"/>
            </w:tcBorders>
            <w:noWrap w:val="0"/>
            <w:textDirection w:val="tbRlV"/>
            <w:vAlign w:val="center"/>
          </w:tcPr>
          <w:p>
            <w:pPr>
              <w:adjustRightInd w:val="0"/>
              <w:snapToGrid w:val="0"/>
              <w:ind w:left="113" w:right="113"/>
              <w:jc w:val="center"/>
              <w:rPr>
                <w:rFonts w:hint="eastAsia" w:asciiTheme="minorEastAsia" w:hAnsiTheme="minorEastAsia" w:eastAsiaTheme="minorEastAsia" w:cstheme="minorEastAsia"/>
                <w:b/>
                <w:kern w:val="0"/>
                <w:sz w:val="21"/>
                <w:szCs w:val="21"/>
                <w:highlight w:val="none"/>
              </w:rPr>
            </w:pPr>
          </w:p>
        </w:tc>
        <w:tc>
          <w:tcPr>
            <w:tcW w:w="990" w:type="dxa"/>
            <w:vMerge w:val="continue"/>
            <w:noWrap w:val="0"/>
            <w:vAlign w:val="center"/>
          </w:tcPr>
          <w:p>
            <w:pPr>
              <w:pStyle w:val="14"/>
              <w:snapToGrid w:val="0"/>
              <w:jc w:val="both"/>
              <w:rPr>
                <w:rFonts w:hint="eastAsia" w:asciiTheme="minorEastAsia" w:hAnsiTheme="minorEastAsia" w:eastAsiaTheme="minorEastAsia" w:cstheme="minorEastAsia"/>
                <w:b/>
                <w:kern w:val="2"/>
                <w:sz w:val="21"/>
                <w:szCs w:val="21"/>
                <w:highlight w:val="none"/>
              </w:rPr>
            </w:pPr>
          </w:p>
        </w:tc>
        <w:tc>
          <w:tcPr>
            <w:tcW w:w="4902" w:type="dxa"/>
            <w:noWrap w:val="0"/>
            <w:vAlign w:val="center"/>
          </w:tcPr>
          <w:p>
            <w:pPr>
              <w:adjustRightInd w:val="0"/>
              <w:snapToGrid w:val="0"/>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rPr>
              <w:t>工作面内特殊支护措施完备且满足要求；顶板不垮落、悬顶范围超过作业规程规定时停止采煤，采取人工强制放顶或其他措施进行处理</w:t>
            </w:r>
          </w:p>
        </w:tc>
        <w:tc>
          <w:tcPr>
            <w:tcW w:w="4740" w:type="dxa"/>
            <w:noWrap w:val="0"/>
            <w:vAlign w:val="center"/>
          </w:tcPr>
          <w:p>
            <w:pPr>
              <w:pStyle w:val="14"/>
              <w:snapToGrid w:val="0"/>
              <w:jc w:val="both"/>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z w:val="21"/>
                <w:szCs w:val="21"/>
                <w:highlight w:val="none"/>
              </w:rPr>
              <w:t>7.工作面内特殊支护齐全；</w:t>
            </w:r>
            <w:r>
              <w:rPr>
                <w:rFonts w:hint="eastAsia" w:asciiTheme="minorEastAsia" w:hAnsiTheme="minorEastAsia" w:eastAsiaTheme="minorEastAsia" w:cstheme="minorEastAsia"/>
                <w:color w:val="FF0000"/>
                <w:sz w:val="21"/>
                <w:szCs w:val="21"/>
                <w:highlight w:val="none"/>
              </w:rPr>
              <w:t>进回风巷工作面端头处及时退锚；</w:t>
            </w:r>
            <w:r>
              <w:rPr>
                <w:rFonts w:hint="eastAsia" w:asciiTheme="minorEastAsia" w:hAnsiTheme="minorEastAsia" w:eastAsiaTheme="minorEastAsia" w:cstheme="minorEastAsia"/>
                <w:sz w:val="21"/>
                <w:szCs w:val="21"/>
                <w:highlight w:val="none"/>
              </w:rPr>
              <w:t>顶板不垮落、悬顶距离超过作业规程规定的，停止采煤，采取人工强制放顶或者其他措施进行处理</w:t>
            </w:r>
          </w:p>
        </w:tc>
        <w:tc>
          <w:tcPr>
            <w:tcW w:w="2342" w:type="dxa"/>
            <w:noWrap w:val="0"/>
            <w:vAlign w:val="center"/>
          </w:tcPr>
          <w:p>
            <w:pPr>
              <w:adjustRightInd w:val="0"/>
              <w:snapToGrid w:val="0"/>
              <w:jc w:val="center"/>
              <w:rPr>
                <w:rFonts w:hint="eastAsia" w:asciiTheme="minorEastAsia" w:hAnsiTheme="minorEastAsia" w:eastAsiaTheme="minorEastAsia" w:cstheme="minorEastAsia"/>
                <w:b w:val="0"/>
                <w:bCs w:val="0"/>
                <w:color w:val="auto"/>
                <w:kern w:val="0"/>
                <w:sz w:val="21"/>
                <w:szCs w:val="21"/>
                <w:highlight w:val="none"/>
                <w:lang w:eastAsia="zh-CN"/>
              </w:rPr>
            </w:pPr>
            <w:r>
              <w:rPr>
                <w:rFonts w:hint="eastAsia" w:asciiTheme="minorEastAsia" w:hAnsiTheme="minorEastAsia" w:eastAsiaTheme="minorEastAsia" w:cstheme="minorEastAsia"/>
                <w:b w:val="0"/>
                <w:bCs w:val="0"/>
                <w:color w:val="auto"/>
                <w:kern w:val="0"/>
                <w:sz w:val="21"/>
                <w:szCs w:val="21"/>
                <w:highlight w:val="none"/>
                <w:lang w:eastAsia="zh-CN"/>
              </w:rPr>
              <w:t>删除</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832" w:hRule="atLeast"/>
          <w:jc w:val="center"/>
        </w:trPr>
        <w:tc>
          <w:tcPr>
            <w:tcW w:w="964" w:type="dxa"/>
            <w:vMerge w:val="continue"/>
            <w:tcBorders>
              <w:left w:val="nil"/>
            </w:tcBorders>
            <w:noWrap w:val="0"/>
            <w:textDirection w:val="tbRlV"/>
            <w:vAlign w:val="center"/>
          </w:tcPr>
          <w:p>
            <w:pPr>
              <w:adjustRightInd w:val="0"/>
              <w:snapToGrid w:val="0"/>
              <w:ind w:left="113" w:right="113"/>
              <w:jc w:val="center"/>
              <w:rPr>
                <w:rFonts w:hint="eastAsia" w:asciiTheme="minorEastAsia" w:hAnsiTheme="minorEastAsia" w:eastAsiaTheme="minorEastAsia" w:cstheme="minorEastAsia"/>
                <w:b/>
                <w:kern w:val="0"/>
                <w:sz w:val="21"/>
                <w:szCs w:val="21"/>
                <w:highlight w:val="none"/>
              </w:rPr>
            </w:pPr>
          </w:p>
        </w:tc>
        <w:tc>
          <w:tcPr>
            <w:tcW w:w="990" w:type="dxa"/>
            <w:vMerge w:val="continue"/>
            <w:noWrap w:val="0"/>
            <w:vAlign w:val="center"/>
          </w:tcPr>
          <w:p>
            <w:pPr>
              <w:pStyle w:val="14"/>
              <w:snapToGrid w:val="0"/>
              <w:jc w:val="both"/>
              <w:rPr>
                <w:rFonts w:hint="eastAsia" w:asciiTheme="minorEastAsia" w:hAnsiTheme="minorEastAsia" w:eastAsiaTheme="minorEastAsia" w:cstheme="minorEastAsia"/>
                <w:b/>
                <w:kern w:val="2"/>
                <w:sz w:val="21"/>
                <w:szCs w:val="21"/>
                <w:highlight w:val="none"/>
              </w:rPr>
            </w:pPr>
          </w:p>
        </w:tc>
        <w:tc>
          <w:tcPr>
            <w:tcW w:w="4902" w:type="dxa"/>
            <w:noWrap w:val="0"/>
            <w:vAlign w:val="center"/>
          </w:tcPr>
          <w:p>
            <w:pPr>
              <w:adjustRightInd w:val="0"/>
              <w:snapToGrid w:val="0"/>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rPr>
              <w:t>不随意留顶煤、底煤开采，留顶煤、托夹矸开采时，应制定专项安全措施</w:t>
            </w:r>
          </w:p>
        </w:tc>
        <w:tc>
          <w:tcPr>
            <w:tcW w:w="4740" w:type="dxa"/>
            <w:noWrap w:val="0"/>
            <w:vAlign w:val="center"/>
          </w:tcPr>
          <w:p>
            <w:pPr>
              <w:pStyle w:val="14"/>
              <w:snapToGrid w:val="0"/>
              <w:jc w:val="both"/>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z w:val="21"/>
                <w:szCs w:val="21"/>
                <w:highlight w:val="none"/>
              </w:rPr>
              <w:t>8.不随意留顶煤、底煤开采，留顶煤、托夹矸开采时，制定专项措施</w:t>
            </w:r>
          </w:p>
        </w:tc>
        <w:tc>
          <w:tcPr>
            <w:tcW w:w="2342" w:type="dxa"/>
            <w:noWrap w:val="0"/>
            <w:vAlign w:val="center"/>
          </w:tcPr>
          <w:p>
            <w:pPr>
              <w:adjustRightInd w:val="0"/>
              <w:snapToGrid w:val="0"/>
              <w:jc w:val="center"/>
              <w:rPr>
                <w:rFonts w:hint="eastAsia" w:asciiTheme="minorEastAsia" w:hAnsiTheme="minorEastAsia" w:eastAsiaTheme="minorEastAsia" w:cstheme="minorEastAsia"/>
                <w:b w:val="0"/>
                <w:bCs w:val="0"/>
                <w:color w:val="auto"/>
                <w:kern w:val="0"/>
                <w:sz w:val="21"/>
                <w:szCs w:val="21"/>
                <w:highlight w:val="none"/>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837" w:hRule="atLeast"/>
          <w:jc w:val="center"/>
        </w:trPr>
        <w:tc>
          <w:tcPr>
            <w:tcW w:w="964" w:type="dxa"/>
            <w:vMerge w:val="continue"/>
            <w:tcBorders>
              <w:left w:val="nil"/>
            </w:tcBorders>
            <w:noWrap w:val="0"/>
            <w:textDirection w:val="tbRlV"/>
            <w:vAlign w:val="center"/>
          </w:tcPr>
          <w:p>
            <w:pPr>
              <w:adjustRightInd w:val="0"/>
              <w:snapToGrid w:val="0"/>
              <w:ind w:left="113" w:right="113"/>
              <w:jc w:val="center"/>
              <w:rPr>
                <w:rFonts w:hint="eastAsia" w:asciiTheme="minorEastAsia" w:hAnsiTheme="minorEastAsia" w:eastAsiaTheme="minorEastAsia" w:cstheme="minorEastAsia"/>
                <w:b/>
                <w:kern w:val="0"/>
                <w:sz w:val="21"/>
                <w:szCs w:val="21"/>
                <w:highlight w:val="none"/>
              </w:rPr>
            </w:pPr>
          </w:p>
        </w:tc>
        <w:tc>
          <w:tcPr>
            <w:tcW w:w="990" w:type="dxa"/>
            <w:vMerge w:val="continue"/>
            <w:noWrap w:val="0"/>
            <w:vAlign w:val="center"/>
          </w:tcPr>
          <w:p>
            <w:pPr>
              <w:pStyle w:val="14"/>
              <w:snapToGrid w:val="0"/>
              <w:jc w:val="both"/>
              <w:rPr>
                <w:rFonts w:hint="eastAsia" w:asciiTheme="minorEastAsia" w:hAnsiTheme="minorEastAsia" w:eastAsiaTheme="minorEastAsia" w:cstheme="minorEastAsia"/>
                <w:b/>
                <w:kern w:val="2"/>
                <w:sz w:val="21"/>
                <w:szCs w:val="21"/>
                <w:highlight w:val="none"/>
              </w:rPr>
            </w:pPr>
          </w:p>
        </w:tc>
        <w:tc>
          <w:tcPr>
            <w:tcW w:w="4902" w:type="dxa"/>
            <w:noWrap w:val="0"/>
            <w:vAlign w:val="center"/>
          </w:tcPr>
          <w:p>
            <w:pPr>
              <w:adjustRightInd w:val="0"/>
              <w:snapToGrid w:val="0"/>
              <w:rPr>
                <w:rFonts w:hint="eastAsia" w:asciiTheme="minorEastAsia" w:hAnsiTheme="minorEastAsia" w:eastAsiaTheme="minorEastAsia" w:cstheme="minorEastAsia"/>
                <w:b/>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rPr>
              <w:t>工作面因顶板破碎或分层开采，需要铺设假顶时，按照作业规程的规定执行</w:t>
            </w:r>
          </w:p>
        </w:tc>
        <w:tc>
          <w:tcPr>
            <w:tcW w:w="4740" w:type="dxa"/>
            <w:noWrap w:val="0"/>
            <w:vAlign w:val="center"/>
          </w:tcPr>
          <w:p>
            <w:pPr>
              <w:pStyle w:val="14"/>
              <w:snapToGrid w:val="0"/>
              <w:jc w:val="both"/>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z w:val="21"/>
                <w:szCs w:val="21"/>
                <w:highlight w:val="none"/>
              </w:rPr>
              <w:t>9.工作面因顶板破碎或分层开采，需要铺设假顶时，按照作业规程的规定执行</w:t>
            </w:r>
          </w:p>
        </w:tc>
        <w:tc>
          <w:tcPr>
            <w:tcW w:w="2342" w:type="dxa"/>
            <w:noWrap w:val="0"/>
            <w:vAlign w:val="center"/>
          </w:tcPr>
          <w:p>
            <w:pPr>
              <w:adjustRightInd w:val="0"/>
              <w:snapToGrid w:val="0"/>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912" w:hRule="atLeast"/>
          <w:jc w:val="center"/>
        </w:trPr>
        <w:tc>
          <w:tcPr>
            <w:tcW w:w="964" w:type="dxa"/>
            <w:vMerge w:val="continue"/>
            <w:tcBorders>
              <w:left w:val="nil"/>
            </w:tcBorders>
            <w:noWrap w:val="0"/>
            <w:textDirection w:val="tbRlV"/>
            <w:vAlign w:val="center"/>
          </w:tcPr>
          <w:p>
            <w:pPr>
              <w:adjustRightInd w:val="0"/>
              <w:snapToGrid w:val="0"/>
              <w:ind w:left="113" w:right="113"/>
              <w:jc w:val="center"/>
              <w:rPr>
                <w:rFonts w:hint="eastAsia" w:asciiTheme="minorEastAsia" w:hAnsiTheme="minorEastAsia" w:eastAsiaTheme="minorEastAsia" w:cstheme="minorEastAsia"/>
                <w:b/>
                <w:kern w:val="0"/>
                <w:sz w:val="21"/>
                <w:szCs w:val="21"/>
                <w:highlight w:val="none"/>
              </w:rPr>
            </w:pPr>
          </w:p>
        </w:tc>
        <w:tc>
          <w:tcPr>
            <w:tcW w:w="990" w:type="dxa"/>
            <w:vMerge w:val="continue"/>
            <w:noWrap w:val="0"/>
            <w:vAlign w:val="center"/>
          </w:tcPr>
          <w:p>
            <w:pPr>
              <w:adjustRightInd w:val="0"/>
              <w:snapToGrid w:val="0"/>
              <w:jc w:val="left"/>
              <w:rPr>
                <w:rFonts w:hint="eastAsia" w:asciiTheme="minorEastAsia" w:hAnsiTheme="minorEastAsia" w:eastAsiaTheme="minorEastAsia" w:cstheme="minorEastAsia"/>
                <w:b/>
                <w:kern w:val="0"/>
                <w:sz w:val="21"/>
                <w:szCs w:val="21"/>
                <w:highlight w:val="none"/>
              </w:rPr>
            </w:pPr>
          </w:p>
        </w:tc>
        <w:tc>
          <w:tcPr>
            <w:tcW w:w="4902" w:type="dxa"/>
            <w:noWrap w:val="0"/>
            <w:vAlign w:val="center"/>
          </w:tcPr>
          <w:p>
            <w:pPr>
              <w:adjustRightInd w:val="0"/>
              <w:snapToGrid w:val="0"/>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rPr>
              <w:t>工作面控顶范围内顶底板移近量按采高不大于100mm/m；底板松软时，支柱应穿柱鞋，钻底小于100mm；工作面顶板不应出现台阶式下沉；支架（支柱）不超高使用，支架（支柱）高度与采高相匹配，控制在作业规程规定的范围内，支架的活柱行程余量不小于200mm（企业特殊定制支架、支柱以其技术指标为准）</w:t>
            </w:r>
          </w:p>
        </w:tc>
        <w:tc>
          <w:tcPr>
            <w:tcW w:w="4740" w:type="dxa"/>
            <w:noWrap w:val="0"/>
            <w:vAlign w:val="center"/>
          </w:tcPr>
          <w:p>
            <w:pPr>
              <w:adjustRightInd w:val="0"/>
              <w:snapToGrid w:val="0"/>
              <w:jc w:val="left"/>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10.工作面控顶范围内顶底板移近量按采高不大于100 mm/m；底板松软时，支柱应穿柱鞋，钻底小于100mm；工作面顶板不应出现台阶式下沉</w:t>
            </w:r>
          </w:p>
        </w:tc>
        <w:tc>
          <w:tcPr>
            <w:tcW w:w="2342" w:type="dxa"/>
            <w:noWrap w:val="0"/>
            <w:vAlign w:val="center"/>
          </w:tcPr>
          <w:p>
            <w:pPr>
              <w:adjustRightInd w:val="0"/>
              <w:snapToGrid w:val="0"/>
              <w:jc w:val="center"/>
              <w:rPr>
                <w:rFonts w:hint="eastAsia" w:asciiTheme="minorEastAsia" w:hAnsiTheme="minorEastAsia" w:eastAsiaTheme="minorEastAsia" w:cstheme="minorEastAsia"/>
                <w:b w:val="0"/>
                <w:bCs w:val="0"/>
                <w:color w:val="auto"/>
                <w:kern w:val="0"/>
                <w:sz w:val="21"/>
                <w:szCs w:val="21"/>
                <w:highlight w:val="none"/>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837" w:hRule="atLeast"/>
          <w:jc w:val="center"/>
        </w:trPr>
        <w:tc>
          <w:tcPr>
            <w:tcW w:w="964" w:type="dxa"/>
            <w:vMerge w:val="continue"/>
            <w:tcBorders>
              <w:left w:val="nil"/>
            </w:tcBorders>
            <w:noWrap w:val="0"/>
            <w:textDirection w:val="tbRlV"/>
            <w:vAlign w:val="center"/>
          </w:tcPr>
          <w:p>
            <w:pPr>
              <w:adjustRightInd w:val="0"/>
              <w:snapToGrid w:val="0"/>
              <w:ind w:left="113" w:right="113"/>
              <w:jc w:val="center"/>
              <w:rPr>
                <w:rFonts w:hint="eastAsia" w:asciiTheme="minorEastAsia" w:hAnsiTheme="minorEastAsia" w:eastAsiaTheme="minorEastAsia" w:cstheme="minorEastAsia"/>
                <w:b/>
                <w:kern w:val="0"/>
                <w:sz w:val="21"/>
                <w:szCs w:val="21"/>
                <w:highlight w:val="none"/>
              </w:rPr>
            </w:pPr>
          </w:p>
        </w:tc>
        <w:tc>
          <w:tcPr>
            <w:tcW w:w="990" w:type="dxa"/>
            <w:vMerge w:val="continue"/>
            <w:noWrap w:val="0"/>
            <w:vAlign w:val="center"/>
          </w:tcPr>
          <w:p>
            <w:pPr>
              <w:adjustRightInd w:val="0"/>
              <w:snapToGrid w:val="0"/>
              <w:jc w:val="left"/>
              <w:rPr>
                <w:rFonts w:hint="eastAsia" w:asciiTheme="minorEastAsia" w:hAnsiTheme="minorEastAsia" w:eastAsiaTheme="minorEastAsia" w:cstheme="minorEastAsia"/>
                <w:b/>
                <w:kern w:val="0"/>
                <w:sz w:val="21"/>
                <w:szCs w:val="21"/>
                <w:highlight w:val="none"/>
              </w:rPr>
            </w:pPr>
          </w:p>
        </w:tc>
        <w:tc>
          <w:tcPr>
            <w:tcW w:w="4902" w:type="dxa"/>
            <w:noWrap w:val="0"/>
            <w:vAlign w:val="center"/>
          </w:tcPr>
          <w:p>
            <w:pPr>
              <w:adjustRightInd w:val="0"/>
              <w:snapToGrid w:val="0"/>
              <w:jc w:val="left"/>
              <w:rPr>
                <w:rFonts w:hint="eastAsia" w:asciiTheme="minorEastAsia" w:hAnsiTheme="minorEastAsia" w:eastAsiaTheme="minorEastAsia" w:cstheme="minorEastAsia"/>
                <w:kern w:val="0"/>
                <w:sz w:val="21"/>
                <w:szCs w:val="21"/>
                <w:highlight w:val="none"/>
                <w:lang w:val="en-US" w:eastAsia="zh-CN" w:bidi="ar-SA"/>
              </w:rPr>
            </w:pPr>
          </w:p>
        </w:tc>
        <w:tc>
          <w:tcPr>
            <w:tcW w:w="4740" w:type="dxa"/>
            <w:noWrap w:val="0"/>
            <w:vAlign w:val="center"/>
          </w:tcPr>
          <w:p>
            <w:pPr>
              <w:pStyle w:val="14"/>
              <w:snapToGrid w:val="0"/>
              <w:jc w:val="both"/>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color w:val="FF0000"/>
                <w:sz w:val="21"/>
                <w:szCs w:val="21"/>
                <w:highlight w:val="none"/>
              </w:rPr>
              <w:t>11.坚持开展工作面工程质量、顶板管理、规程落实情况的班评估工作，记录齐全，并放置在井下指定地点</w:t>
            </w:r>
          </w:p>
        </w:tc>
        <w:tc>
          <w:tcPr>
            <w:tcW w:w="2342" w:type="dxa"/>
            <w:noWrap w:val="0"/>
            <w:vAlign w:val="center"/>
          </w:tcPr>
          <w:p>
            <w:pPr>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删除</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450" w:hRule="atLeast"/>
          <w:jc w:val="center"/>
        </w:trPr>
        <w:tc>
          <w:tcPr>
            <w:tcW w:w="964" w:type="dxa"/>
            <w:vMerge w:val="continue"/>
            <w:tcBorders>
              <w:left w:val="nil"/>
            </w:tcBorders>
            <w:noWrap w:val="0"/>
            <w:textDirection w:val="tbRlV"/>
            <w:vAlign w:val="center"/>
          </w:tcPr>
          <w:p>
            <w:pPr>
              <w:adjustRightInd w:val="0"/>
              <w:snapToGrid w:val="0"/>
              <w:ind w:left="113" w:right="113"/>
              <w:jc w:val="center"/>
              <w:rPr>
                <w:rFonts w:hint="eastAsia" w:asciiTheme="minorEastAsia" w:hAnsiTheme="minorEastAsia" w:eastAsiaTheme="minorEastAsia" w:cstheme="minorEastAsia"/>
                <w:kern w:val="0"/>
                <w:sz w:val="21"/>
                <w:szCs w:val="21"/>
                <w:highlight w:val="none"/>
              </w:rPr>
            </w:pPr>
          </w:p>
        </w:tc>
        <w:tc>
          <w:tcPr>
            <w:tcW w:w="990" w:type="dxa"/>
            <w:vMerge w:val="restart"/>
            <w:noWrap w:val="0"/>
            <w:vAlign w:val="center"/>
          </w:tcPr>
          <w:p>
            <w:pPr>
              <w:pStyle w:val="14"/>
              <w:snapToGrid w:val="0"/>
              <w:jc w:val="center"/>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z w:val="21"/>
                <w:szCs w:val="21"/>
                <w:highlight w:val="none"/>
              </w:rPr>
              <w:t>安全出口与端头支护</w:t>
            </w:r>
          </w:p>
        </w:tc>
        <w:tc>
          <w:tcPr>
            <w:tcW w:w="4902" w:type="dxa"/>
            <w:noWrap w:val="0"/>
            <w:vAlign w:val="center"/>
          </w:tcPr>
          <w:p>
            <w:pPr>
              <w:adjustRightInd w:val="0"/>
              <w:snapToGrid w:val="0"/>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rPr>
              <w:t>工作面安全出口畅通，人行道宽度不小于0.8m，综采（放）工作面安全出口高度不低于1.8m，其他工作面不低于1.6m；</w:t>
            </w:r>
            <w:r>
              <w:rPr>
                <w:rFonts w:hint="eastAsia" w:asciiTheme="minorEastAsia" w:hAnsiTheme="minorEastAsia" w:eastAsiaTheme="minorEastAsia" w:cstheme="minorEastAsia"/>
                <w:color w:val="0070C0"/>
                <w:kern w:val="0"/>
                <w:sz w:val="21"/>
                <w:szCs w:val="21"/>
                <w:highlight w:val="none"/>
              </w:rPr>
              <w:t>安全出口以外巷道高度不低于2m，支护完好；</w:t>
            </w:r>
            <w:r>
              <w:rPr>
                <w:rFonts w:hint="eastAsia" w:asciiTheme="minorEastAsia" w:hAnsiTheme="minorEastAsia" w:eastAsiaTheme="minorEastAsia" w:cstheme="minorEastAsia"/>
                <w:kern w:val="0"/>
                <w:sz w:val="21"/>
                <w:szCs w:val="21"/>
                <w:highlight w:val="none"/>
              </w:rPr>
              <w:t>工作面两端第一组支架与上下顺槽巷道顶板支护之间的净距离不大于0.5m；</w:t>
            </w:r>
            <w:r>
              <w:rPr>
                <w:rFonts w:hint="eastAsia" w:asciiTheme="minorEastAsia" w:hAnsiTheme="minorEastAsia" w:eastAsiaTheme="minorEastAsia" w:cstheme="minorEastAsia"/>
                <w:color w:val="0070C0"/>
                <w:kern w:val="0"/>
                <w:sz w:val="21"/>
                <w:szCs w:val="21"/>
                <w:highlight w:val="none"/>
              </w:rPr>
              <w:t>超前支护设备初撑力符合作业规程要求；</w:t>
            </w:r>
            <w:r>
              <w:rPr>
                <w:rFonts w:hint="eastAsia" w:asciiTheme="minorEastAsia" w:hAnsiTheme="minorEastAsia" w:eastAsiaTheme="minorEastAsia" w:cstheme="minorEastAsia"/>
                <w:kern w:val="0"/>
                <w:sz w:val="21"/>
                <w:szCs w:val="21"/>
                <w:highlight w:val="none"/>
              </w:rPr>
              <w:t>单体液压支柱初撑力符合《煤矿安全规程》要求</w:t>
            </w:r>
          </w:p>
        </w:tc>
        <w:tc>
          <w:tcPr>
            <w:tcW w:w="4740" w:type="dxa"/>
            <w:noWrap w:val="0"/>
            <w:vAlign w:val="center"/>
          </w:tcPr>
          <w:p>
            <w:pPr>
              <w:pStyle w:val="14"/>
              <w:snapToGrid w:val="0"/>
              <w:jc w:val="both"/>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z w:val="21"/>
                <w:szCs w:val="21"/>
                <w:highlight w:val="none"/>
              </w:rPr>
              <w:t>1.工作面安全出口畅通，人行道宽度不小于0.8 m，综采（放）工作面安全出口高度不低于1.8 m，其他工作面不低于1.6 m。工作面两端第一组支架与巷道支护间净距不大于0.5 m，单体支柱初撑力符合《煤矿安全规程》规定</w:t>
            </w:r>
          </w:p>
        </w:tc>
        <w:tc>
          <w:tcPr>
            <w:tcW w:w="2342" w:type="dxa"/>
            <w:noWrap w:val="0"/>
            <w:vAlign w:val="center"/>
          </w:tcPr>
          <w:p>
            <w:pPr>
              <w:adjustRightInd w:val="0"/>
              <w:snapToGrid w:val="0"/>
              <w:jc w:val="center"/>
              <w:rPr>
                <w:rFonts w:hint="eastAsia" w:asciiTheme="minorEastAsia" w:hAnsiTheme="minorEastAsia" w:eastAsiaTheme="minorEastAsia" w:cstheme="minorEastAsia"/>
                <w:b w:val="0"/>
                <w:bCs w:val="0"/>
                <w:color w:val="auto"/>
                <w:kern w:val="0"/>
                <w:sz w:val="21"/>
                <w:szCs w:val="21"/>
                <w:highlight w:val="none"/>
                <w:lang w:eastAsia="zh-CN"/>
              </w:rPr>
            </w:pPr>
            <w:r>
              <w:rPr>
                <w:rFonts w:hint="eastAsia" w:asciiTheme="minorEastAsia" w:hAnsiTheme="minorEastAsia" w:eastAsiaTheme="minorEastAsia" w:cstheme="minorEastAsia"/>
                <w:b w:val="0"/>
                <w:bCs w:val="0"/>
                <w:color w:val="auto"/>
                <w:kern w:val="0"/>
                <w:sz w:val="21"/>
                <w:szCs w:val="21"/>
                <w:highlight w:val="none"/>
                <w:lang w:eastAsia="zh-CN"/>
              </w:rPr>
              <w:t>新增</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837" w:hRule="atLeast"/>
          <w:jc w:val="center"/>
        </w:trPr>
        <w:tc>
          <w:tcPr>
            <w:tcW w:w="964" w:type="dxa"/>
            <w:vMerge w:val="continue"/>
            <w:tcBorders>
              <w:left w:val="nil"/>
            </w:tcBorders>
            <w:noWrap w:val="0"/>
            <w:textDirection w:val="tbRlV"/>
            <w:vAlign w:val="center"/>
          </w:tcPr>
          <w:p>
            <w:pPr>
              <w:adjustRightInd w:val="0"/>
              <w:snapToGrid w:val="0"/>
              <w:ind w:left="113" w:right="113"/>
              <w:jc w:val="center"/>
              <w:rPr>
                <w:rFonts w:hint="eastAsia" w:asciiTheme="minorEastAsia" w:hAnsiTheme="minorEastAsia" w:eastAsiaTheme="minorEastAsia" w:cstheme="minorEastAsia"/>
                <w:b/>
                <w:kern w:val="0"/>
                <w:sz w:val="21"/>
                <w:szCs w:val="21"/>
                <w:highlight w:val="none"/>
              </w:rPr>
            </w:pPr>
          </w:p>
        </w:tc>
        <w:tc>
          <w:tcPr>
            <w:tcW w:w="990" w:type="dxa"/>
            <w:vMerge w:val="continue"/>
            <w:noWrap w:val="0"/>
            <w:vAlign w:val="center"/>
          </w:tcPr>
          <w:p>
            <w:pPr>
              <w:pStyle w:val="14"/>
              <w:snapToGrid w:val="0"/>
              <w:jc w:val="center"/>
              <w:rPr>
                <w:rFonts w:hint="eastAsia" w:asciiTheme="minorEastAsia" w:hAnsiTheme="minorEastAsia" w:eastAsiaTheme="minorEastAsia" w:cstheme="minorEastAsia"/>
                <w:b/>
                <w:kern w:val="2"/>
                <w:sz w:val="21"/>
                <w:szCs w:val="21"/>
                <w:highlight w:val="none"/>
              </w:rPr>
            </w:pPr>
          </w:p>
        </w:tc>
        <w:tc>
          <w:tcPr>
            <w:tcW w:w="4902" w:type="dxa"/>
            <w:noWrap w:val="0"/>
            <w:vAlign w:val="center"/>
          </w:tcPr>
          <w:p>
            <w:pPr>
              <w:adjustRightInd w:val="0"/>
              <w:snapToGrid w:val="0"/>
              <w:rPr>
                <w:rFonts w:hint="eastAsia" w:asciiTheme="minorEastAsia" w:hAnsiTheme="minorEastAsia" w:eastAsiaTheme="minorEastAsia" w:cstheme="minorEastAsia"/>
                <w:kern w:val="0"/>
                <w:sz w:val="21"/>
                <w:szCs w:val="21"/>
                <w:highlight w:val="none"/>
                <w:lang w:val="en-US" w:eastAsia="zh-CN" w:bidi="ar-SA"/>
              </w:rPr>
            </w:pPr>
          </w:p>
        </w:tc>
        <w:tc>
          <w:tcPr>
            <w:tcW w:w="4740" w:type="dxa"/>
            <w:noWrap w:val="0"/>
            <w:vAlign w:val="center"/>
          </w:tcPr>
          <w:p>
            <w:pPr>
              <w:pStyle w:val="14"/>
              <w:snapToGrid w:val="0"/>
              <w:jc w:val="both"/>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color w:val="FF0000"/>
                <w:sz w:val="21"/>
                <w:szCs w:val="21"/>
                <w:highlight w:val="none"/>
              </w:rPr>
              <w:t>2.冲击地压矿井使用工作面端头支架、两巷超前支护液压支架和吸能装置</w:t>
            </w:r>
          </w:p>
        </w:tc>
        <w:tc>
          <w:tcPr>
            <w:tcW w:w="2342" w:type="dxa"/>
            <w:noWrap w:val="0"/>
            <w:vAlign w:val="center"/>
          </w:tcPr>
          <w:p>
            <w:pPr>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删除</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643" w:hRule="atLeast"/>
          <w:jc w:val="center"/>
        </w:trPr>
        <w:tc>
          <w:tcPr>
            <w:tcW w:w="964" w:type="dxa"/>
            <w:vMerge w:val="continue"/>
            <w:tcBorders>
              <w:left w:val="nil"/>
            </w:tcBorders>
            <w:noWrap w:val="0"/>
            <w:textDirection w:val="tbRlV"/>
            <w:vAlign w:val="center"/>
          </w:tcPr>
          <w:p>
            <w:pPr>
              <w:adjustRightInd w:val="0"/>
              <w:snapToGrid w:val="0"/>
              <w:ind w:left="113" w:right="113"/>
              <w:jc w:val="center"/>
              <w:rPr>
                <w:rFonts w:hint="eastAsia" w:asciiTheme="minorEastAsia" w:hAnsiTheme="minorEastAsia" w:eastAsiaTheme="minorEastAsia" w:cstheme="minorEastAsia"/>
                <w:b/>
                <w:kern w:val="0"/>
                <w:sz w:val="21"/>
                <w:szCs w:val="21"/>
                <w:highlight w:val="none"/>
              </w:rPr>
            </w:pPr>
          </w:p>
        </w:tc>
        <w:tc>
          <w:tcPr>
            <w:tcW w:w="990" w:type="dxa"/>
            <w:vMerge w:val="continue"/>
            <w:noWrap w:val="0"/>
            <w:vAlign w:val="center"/>
          </w:tcPr>
          <w:p>
            <w:pPr>
              <w:pStyle w:val="14"/>
              <w:snapToGrid w:val="0"/>
              <w:jc w:val="both"/>
              <w:rPr>
                <w:rFonts w:hint="eastAsia" w:asciiTheme="minorEastAsia" w:hAnsiTheme="minorEastAsia" w:eastAsiaTheme="minorEastAsia" w:cstheme="minorEastAsia"/>
                <w:b/>
                <w:kern w:val="2"/>
                <w:sz w:val="21"/>
                <w:szCs w:val="21"/>
                <w:highlight w:val="none"/>
              </w:rPr>
            </w:pPr>
          </w:p>
        </w:tc>
        <w:tc>
          <w:tcPr>
            <w:tcW w:w="4902" w:type="dxa"/>
            <w:noWrap w:val="0"/>
            <w:vAlign w:val="center"/>
          </w:tcPr>
          <w:p>
            <w:pPr>
              <w:adjustRightInd w:val="0"/>
              <w:snapToGrid w:val="0"/>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color w:val="0070C0"/>
                <w:kern w:val="0"/>
                <w:sz w:val="21"/>
                <w:szCs w:val="21"/>
                <w:highlight w:val="none"/>
              </w:rPr>
              <w:t>进、回风巷超前加强支护距离、支护形式以及架棚巷道超前替棚距离符合作业规程规定，</w:t>
            </w:r>
            <w:r>
              <w:rPr>
                <w:rFonts w:hint="eastAsia" w:asciiTheme="minorEastAsia" w:hAnsiTheme="minorEastAsia" w:eastAsiaTheme="minorEastAsia" w:cstheme="minorEastAsia"/>
                <w:kern w:val="0"/>
                <w:sz w:val="21"/>
                <w:szCs w:val="21"/>
                <w:highlight w:val="none"/>
              </w:rPr>
              <w:t>支柱柱距、排距允许偏差不大于100mm；采用密集支柱切顶时，支柱数量符合作业规程要求；挡矸有效</w:t>
            </w:r>
          </w:p>
        </w:tc>
        <w:tc>
          <w:tcPr>
            <w:tcW w:w="4740" w:type="dxa"/>
            <w:noWrap w:val="0"/>
            <w:vAlign w:val="center"/>
          </w:tcPr>
          <w:p>
            <w:pPr>
              <w:pStyle w:val="14"/>
              <w:snapToGrid w:val="0"/>
              <w:jc w:val="both"/>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z w:val="21"/>
                <w:szCs w:val="21"/>
                <w:highlight w:val="none"/>
              </w:rPr>
              <w:t>3.进、回风巷超前支护距离不小于20m，支柱柱距、排距允许偏差不大于100 mm，支护形式符合作业规程规定；进、回风巷与工作面放顶线放齐（沿空留巷除外），控顶距应在作业规程中规定；挡矸有效</w:t>
            </w:r>
          </w:p>
        </w:tc>
        <w:tc>
          <w:tcPr>
            <w:tcW w:w="2342" w:type="dxa"/>
            <w:noWrap w:val="0"/>
            <w:vAlign w:val="center"/>
          </w:tcPr>
          <w:p>
            <w:pPr>
              <w:adjustRightInd w:val="0"/>
              <w:snapToGrid w:val="0"/>
              <w:jc w:val="center"/>
              <w:rPr>
                <w:rFonts w:hint="eastAsia" w:asciiTheme="minorEastAsia" w:hAnsiTheme="minorEastAsia" w:eastAsiaTheme="minorEastAsia" w:cstheme="minorEastAsia"/>
                <w:b w:val="0"/>
                <w:bCs w:val="0"/>
                <w:color w:val="auto"/>
                <w:kern w:val="0"/>
                <w:sz w:val="21"/>
                <w:szCs w:val="21"/>
                <w:highlight w:val="none"/>
                <w:lang w:eastAsia="zh-CN"/>
              </w:rPr>
            </w:pPr>
            <w:r>
              <w:rPr>
                <w:rFonts w:hint="eastAsia" w:asciiTheme="minorEastAsia" w:hAnsiTheme="minorEastAsia" w:eastAsiaTheme="minorEastAsia" w:cstheme="minorEastAsia"/>
                <w:b w:val="0"/>
                <w:bCs w:val="0"/>
                <w:color w:val="auto"/>
                <w:kern w:val="0"/>
                <w:sz w:val="21"/>
                <w:szCs w:val="21"/>
                <w:highlight w:val="none"/>
                <w:lang w:eastAsia="zh-CN"/>
              </w:rPr>
              <w:t>新增</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837" w:hRule="atLeast"/>
          <w:jc w:val="center"/>
        </w:trPr>
        <w:tc>
          <w:tcPr>
            <w:tcW w:w="964" w:type="dxa"/>
            <w:vMerge w:val="continue"/>
            <w:tcBorders>
              <w:left w:val="nil"/>
            </w:tcBorders>
            <w:noWrap w:val="0"/>
            <w:textDirection w:val="tbRlV"/>
            <w:vAlign w:val="center"/>
          </w:tcPr>
          <w:p>
            <w:pPr>
              <w:adjustRightInd w:val="0"/>
              <w:snapToGrid w:val="0"/>
              <w:ind w:left="113" w:right="113"/>
              <w:jc w:val="center"/>
              <w:rPr>
                <w:rFonts w:hint="eastAsia" w:asciiTheme="minorEastAsia" w:hAnsiTheme="minorEastAsia" w:eastAsiaTheme="minorEastAsia" w:cstheme="minorEastAsia"/>
                <w:b/>
                <w:kern w:val="0"/>
                <w:sz w:val="21"/>
                <w:szCs w:val="21"/>
                <w:highlight w:val="none"/>
              </w:rPr>
            </w:pPr>
          </w:p>
        </w:tc>
        <w:tc>
          <w:tcPr>
            <w:tcW w:w="990" w:type="dxa"/>
            <w:vMerge w:val="continue"/>
            <w:noWrap w:val="0"/>
            <w:vAlign w:val="center"/>
          </w:tcPr>
          <w:p>
            <w:pPr>
              <w:pStyle w:val="14"/>
              <w:snapToGrid w:val="0"/>
              <w:jc w:val="both"/>
              <w:rPr>
                <w:rFonts w:hint="eastAsia" w:asciiTheme="minorEastAsia" w:hAnsiTheme="minorEastAsia" w:eastAsiaTheme="minorEastAsia" w:cstheme="minorEastAsia"/>
                <w:b/>
                <w:kern w:val="2"/>
                <w:sz w:val="21"/>
                <w:szCs w:val="21"/>
                <w:highlight w:val="none"/>
              </w:rPr>
            </w:pPr>
          </w:p>
        </w:tc>
        <w:tc>
          <w:tcPr>
            <w:tcW w:w="4902" w:type="dxa"/>
            <w:noWrap w:val="0"/>
            <w:vAlign w:val="center"/>
          </w:tcPr>
          <w:p>
            <w:pPr>
              <w:adjustRightInd w:val="0"/>
              <w:snapToGrid w:val="0"/>
              <w:rPr>
                <w:rFonts w:hint="eastAsia" w:asciiTheme="minorEastAsia" w:hAnsiTheme="minorEastAsia" w:eastAsiaTheme="minorEastAsia" w:cstheme="minorEastAsia"/>
                <w:kern w:val="0"/>
                <w:sz w:val="21"/>
                <w:szCs w:val="21"/>
                <w:highlight w:val="none"/>
                <w:lang w:val="en-US" w:eastAsia="zh-CN" w:bidi="ar-SA"/>
              </w:rPr>
            </w:pPr>
          </w:p>
        </w:tc>
        <w:tc>
          <w:tcPr>
            <w:tcW w:w="4740" w:type="dxa"/>
            <w:noWrap w:val="0"/>
            <w:vAlign w:val="center"/>
          </w:tcPr>
          <w:p>
            <w:pPr>
              <w:pStyle w:val="14"/>
              <w:snapToGrid w:val="0"/>
              <w:jc w:val="both"/>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color w:val="FF0000"/>
                <w:sz w:val="21"/>
                <w:szCs w:val="21"/>
                <w:highlight w:val="none"/>
              </w:rPr>
              <w:t>4.架棚巷道采用超前替棚的，超前替棚距离，锚杆、锚索支护巷道退锚距离符合作业规程规定</w:t>
            </w:r>
          </w:p>
        </w:tc>
        <w:tc>
          <w:tcPr>
            <w:tcW w:w="2342" w:type="dxa"/>
            <w:noWrap w:val="0"/>
            <w:vAlign w:val="center"/>
          </w:tcPr>
          <w:p>
            <w:pPr>
              <w:adjustRightInd w:val="0"/>
              <w:snapToGrid w:val="0"/>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删除</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837" w:hRule="atLeast"/>
          <w:jc w:val="center"/>
        </w:trPr>
        <w:tc>
          <w:tcPr>
            <w:tcW w:w="964" w:type="dxa"/>
            <w:vMerge w:val="continue"/>
            <w:tcBorders>
              <w:left w:val="nil"/>
            </w:tcBorders>
            <w:noWrap w:val="0"/>
            <w:textDirection w:val="tbRlV"/>
            <w:vAlign w:val="center"/>
          </w:tcPr>
          <w:p>
            <w:pPr>
              <w:adjustRightInd w:val="0"/>
              <w:snapToGrid w:val="0"/>
              <w:ind w:left="113" w:right="113"/>
              <w:jc w:val="center"/>
              <w:rPr>
                <w:rFonts w:hint="eastAsia" w:asciiTheme="minorEastAsia" w:hAnsiTheme="minorEastAsia" w:eastAsiaTheme="minorEastAsia" w:cstheme="minorEastAsia"/>
                <w:b/>
                <w:kern w:val="0"/>
                <w:sz w:val="21"/>
                <w:szCs w:val="21"/>
                <w:highlight w:val="none"/>
              </w:rPr>
            </w:pPr>
          </w:p>
        </w:tc>
        <w:tc>
          <w:tcPr>
            <w:tcW w:w="990" w:type="dxa"/>
            <w:vMerge w:val="restart"/>
            <w:noWrap w:val="0"/>
            <w:vAlign w:val="center"/>
          </w:tcPr>
          <w:p>
            <w:pPr>
              <w:adjustRightInd w:val="0"/>
              <w:snapToGrid w:val="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安全设施</w:t>
            </w:r>
          </w:p>
        </w:tc>
        <w:tc>
          <w:tcPr>
            <w:tcW w:w="4902" w:type="dxa"/>
            <w:noWrap w:val="0"/>
            <w:vAlign w:val="center"/>
          </w:tcPr>
          <w:p>
            <w:pPr>
              <w:adjustRightInd w:val="0"/>
              <w:snapToGrid w:val="0"/>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color w:val="0070C0"/>
                <w:kern w:val="0"/>
                <w:sz w:val="21"/>
                <w:szCs w:val="21"/>
                <w:highlight w:val="none"/>
              </w:rPr>
              <w:t>工作面每50架或75m、安全出口、转载机头、带式输送机头和机尾安装视频摄像头，视频有效监控作业区域</w:t>
            </w:r>
          </w:p>
        </w:tc>
        <w:tc>
          <w:tcPr>
            <w:tcW w:w="4740" w:type="dxa"/>
            <w:noWrap w:val="0"/>
            <w:vAlign w:val="center"/>
          </w:tcPr>
          <w:p>
            <w:pPr>
              <w:adjustRightInd w:val="0"/>
              <w:snapToGrid w:val="0"/>
              <w:rPr>
                <w:rFonts w:hint="eastAsia" w:asciiTheme="minorEastAsia" w:hAnsiTheme="minorEastAsia" w:eastAsiaTheme="minorEastAsia" w:cstheme="minorEastAsia"/>
                <w:kern w:val="0"/>
                <w:sz w:val="21"/>
                <w:szCs w:val="21"/>
                <w:highlight w:val="none"/>
              </w:rPr>
            </w:pPr>
          </w:p>
        </w:tc>
        <w:tc>
          <w:tcPr>
            <w:tcW w:w="2342" w:type="dxa"/>
            <w:noWrap w:val="0"/>
            <w:vAlign w:val="center"/>
          </w:tcPr>
          <w:p>
            <w:pPr>
              <w:adjustRightInd w:val="0"/>
              <w:snapToGrid w:val="0"/>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eastAsia="zh-CN"/>
              </w:rPr>
              <w:t>新增</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837" w:hRule="atLeast"/>
          <w:jc w:val="center"/>
        </w:trPr>
        <w:tc>
          <w:tcPr>
            <w:tcW w:w="964" w:type="dxa"/>
            <w:vMerge w:val="continue"/>
            <w:tcBorders>
              <w:left w:val="nil"/>
            </w:tcBorders>
            <w:noWrap w:val="0"/>
            <w:textDirection w:val="tbRlV"/>
            <w:vAlign w:val="center"/>
          </w:tcPr>
          <w:p>
            <w:pPr>
              <w:adjustRightInd w:val="0"/>
              <w:snapToGrid w:val="0"/>
              <w:ind w:left="113" w:right="113"/>
              <w:jc w:val="center"/>
              <w:rPr>
                <w:rFonts w:hint="eastAsia" w:asciiTheme="minorEastAsia" w:hAnsiTheme="minorEastAsia" w:eastAsiaTheme="minorEastAsia" w:cstheme="minorEastAsia"/>
                <w:b/>
                <w:kern w:val="0"/>
                <w:sz w:val="21"/>
                <w:szCs w:val="21"/>
                <w:highlight w:val="none"/>
              </w:rPr>
            </w:pPr>
          </w:p>
        </w:tc>
        <w:tc>
          <w:tcPr>
            <w:tcW w:w="990" w:type="dxa"/>
            <w:vMerge w:val="continue"/>
            <w:noWrap w:val="0"/>
            <w:vAlign w:val="center"/>
          </w:tcPr>
          <w:p>
            <w:pPr>
              <w:adjustRightInd w:val="0"/>
              <w:snapToGrid w:val="0"/>
              <w:jc w:val="center"/>
              <w:rPr>
                <w:rFonts w:hint="eastAsia" w:asciiTheme="minorEastAsia" w:hAnsiTheme="minorEastAsia" w:eastAsiaTheme="minorEastAsia" w:cstheme="minorEastAsia"/>
                <w:kern w:val="0"/>
                <w:sz w:val="21"/>
                <w:szCs w:val="21"/>
                <w:highlight w:val="none"/>
              </w:rPr>
            </w:pPr>
          </w:p>
        </w:tc>
        <w:tc>
          <w:tcPr>
            <w:tcW w:w="4902" w:type="dxa"/>
            <w:noWrap w:val="0"/>
            <w:vAlign w:val="center"/>
          </w:tcPr>
          <w:p>
            <w:pPr>
              <w:adjustRightInd w:val="0"/>
              <w:snapToGrid w:val="0"/>
              <w:rPr>
                <w:rFonts w:hint="eastAsia" w:asciiTheme="minorEastAsia" w:hAnsiTheme="minorEastAsia" w:eastAsiaTheme="minorEastAsia" w:cstheme="minorEastAsia"/>
                <w:color w:val="0070C0"/>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rPr>
              <w:t>带式输送机机头、乳化液泵站、配电点、</w:t>
            </w:r>
            <w:r>
              <w:rPr>
                <w:rFonts w:hint="eastAsia" w:asciiTheme="minorEastAsia" w:hAnsiTheme="minorEastAsia" w:eastAsiaTheme="minorEastAsia" w:cstheme="minorEastAsia"/>
                <w:color w:val="0070C0"/>
                <w:kern w:val="0"/>
                <w:sz w:val="21"/>
                <w:szCs w:val="21"/>
                <w:highlight w:val="none"/>
              </w:rPr>
              <w:t>防爆型柴油动力装置、油脂存放地点消防设施齐全</w:t>
            </w:r>
          </w:p>
        </w:tc>
        <w:tc>
          <w:tcPr>
            <w:tcW w:w="4740" w:type="dxa"/>
            <w:noWrap w:val="0"/>
            <w:vAlign w:val="center"/>
          </w:tcPr>
          <w:p>
            <w:pPr>
              <w:adjustRightInd w:val="0"/>
              <w:snapToGrid w:val="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1.各转载点有喷雾降尘装置，带式输送机机头、乳化液泵站、配电点等场所消防设施齐全</w:t>
            </w:r>
          </w:p>
        </w:tc>
        <w:tc>
          <w:tcPr>
            <w:tcW w:w="2342" w:type="dxa"/>
            <w:noWrap w:val="0"/>
            <w:vAlign w:val="center"/>
          </w:tcPr>
          <w:p>
            <w:pPr>
              <w:adjustRightInd w:val="0"/>
              <w:snapToGrid w:val="0"/>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eastAsia="zh-CN"/>
              </w:rPr>
              <w:t>新增</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837" w:hRule="atLeast"/>
          <w:jc w:val="center"/>
        </w:trPr>
        <w:tc>
          <w:tcPr>
            <w:tcW w:w="964" w:type="dxa"/>
            <w:vMerge w:val="continue"/>
            <w:tcBorders>
              <w:left w:val="nil"/>
            </w:tcBorders>
            <w:noWrap w:val="0"/>
            <w:textDirection w:val="tbRlV"/>
            <w:vAlign w:val="center"/>
          </w:tcPr>
          <w:p>
            <w:pPr>
              <w:adjustRightInd w:val="0"/>
              <w:snapToGrid w:val="0"/>
              <w:ind w:left="113" w:right="113"/>
              <w:jc w:val="center"/>
              <w:rPr>
                <w:rFonts w:hint="eastAsia" w:asciiTheme="minorEastAsia" w:hAnsiTheme="minorEastAsia" w:eastAsiaTheme="minorEastAsia" w:cstheme="minorEastAsia"/>
                <w:b/>
                <w:kern w:val="0"/>
                <w:sz w:val="21"/>
                <w:szCs w:val="21"/>
                <w:highlight w:val="none"/>
              </w:rPr>
            </w:pPr>
          </w:p>
        </w:tc>
        <w:tc>
          <w:tcPr>
            <w:tcW w:w="990" w:type="dxa"/>
            <w:vMerge w:val="continue"/>
            <w:noWrap w:val="0"/>
            <w:vAlign w:val="center"/>
          </w:tcPr>
          <w:p>
            <w:pPr>
              <w:adjustRightInd w:val="0"/>
              <w:snapToGrid w:val="0"/>
              <w:rPr>
                <w:rFonts w:hint="eastAsia" w:asciiTheme="minorEastAsia" w:hAnsiTheme="minorEastAsia" w:eastAsiaTheme="minorEastAsia" w:cstheme="minorEastAsia"/>
                <w:b/>
                <w:kern w:val="0"/>
                <w:sz w:val="21"/>
                <w:szCs w:val="21"/>
                <w:highlight w:val="none"/>
              </w:rPr>
            </w:pPr>
          </w:p>
        </w:tc>
        <w:tc>
          <w:tcPr>
            <w:tcW w:w="4902" w:type="dxa"/>
            <w:noWrap w:val="0"/>
            <w:vAlign w:val="center"/>
          </w:tcPr>
          <w:p>
            <w:pPr>
              <w:adjustRightInd w:val="0"/>
              <w:snapToGrid w:val="0"/>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rPr>
              <w:t>设备转动外露部位，溜煤（矸）眼及煤仓上口等人员通过地点应有可靠的安全防护设施</w:t>
            </w:r>
          </w:p>
        </w:tc>
        <w:tc>
          <w:tcPr>
            <w:tcW w:w="4740" w:type="dxa"/>
            <w:noWrap w:val="0"/>
            <w:vAlign w:val="center"/>
          </w:tcPr>
          <w:p>
            <w:pPr>
              <w:adjustRightInd w:val="0"/>
              <w:snapToGrid w:val="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2.设备转动外露部位、溜煤眼及煤仓上口等人员通过的地点有可靠的安全防护设施</w:t>
            </w:r>
          </w:p>
        </w:tc>
        <w:tc>
          <w:tcPr>
            <w:tcW w:w="2342" w:type="dxa"/>
            <w:noWrap w:val="0"/>
            <w:vAlign w:val="center"/>
          </w:tcPr>
          <w:p>
            <w:pPr>
              <w:adjustRightInd w:val="0"/>
              <w:snapToGrid w:val="0"/>
              <w:jc w:val="center"/>
              <w:rPr>
                <w:rFonts w:hint="eastAsia" w:asciiTheme="minorEastAsia" w:hAnsiTheme="minorEastAsia" w:eastAsiaTheme="minorEastAsia" w:cstheme="minorEastAsia"/>
                <w:b w:val="0"/>
                <w:bCs w:val="0"/>
                <w:color w:val="auto"/>
                <w:kern w:val="0"/>
                <w:sz w:val="21"/>
                <w:szCs w:val="21"/>
                <w:highlight w:val="none"/>
              </w:rPr>
            </w:pPr>
          </w:p>
        </w:tc>
      </w:tr>
      <w:tr>
        <w:tblPrEx>
          <w:tblLayout w:type="fixed"/>
          <w:tblCellMar>
            <w:top w:w="0" w:type="dxa"/>
            <w:left w:w="108" w:type="dxa"/>
            <w:bottom w:w="0" w:type="dxa"/>
            <w:right w:w="108" w:type="dxa"/>
          </w:tblCellMar>
        </w:tblPrEx>
        <w:trPr>
          <w:trHeight w:val="1373" w:hRule="atLeast"/>
          <w:jc w:val="center"/>
        </w:trPr>
        <w:tc>
          <w:tcPr>
            <w:tcW w:w="964" w:type="dxa"/>
            <w:vMerge w:val="continue"/>
            <w:tcBorders>
              <w:left w:val="nil"/>
            </w:tcBorders>
            <w:noWrap w:val="0"/>
            <w:textDirection w:val="tbRlV"/>
            <w:vAlign w:val="center"/>
          </w:tcPr>
          <w:p>
            <w:pPr>
              <w:adjustRightInd w:val="0"/>
              <w:snapToGrid w:val="0"/>
              <w:ind w:left="113" w:right="113"/>
              <w:jc w:val="center"/>
              <w:rPr>
                <w:rFonts w:hint="eastAsia" w:asciiTheme="minorEastAsia" w:hAnsiTheme="minorEastAsia" w:eastAsiaTheme="minorEastAsia" w:cstheme="minorEastAsia"/>
                <w:b/>
                <w:kern w:val="0"/>
                <w:sz w:val="21"/>
                <w:szCs w:val="21"/>
                <w:highlight w:val="none"/>
              </w:rPr>
            </w:pPr>
          </w:p>
        </w:tc>
        <w:tc>
          <w:tcPr>
            <w:tcW w:w="990" w:type="dxa"/>
            <w:vMerge w:val="continue"/>
            <w:noWrap w:val="0"/>
            <w:vAlign w:val="center"/>
          </w:tcPr>
          <w:p>
            <w:pPr>
              <w:pStyle w:val="14"/>
              <w:snapToGrid w:val="0"/>
              <w:jc w:val="both"/>
              <w:rPr>
                <w:rFonts w:hint="eastAsia" w:asciiTheme="minorEastAsia" w:hAnsiTheme="minorEastAsia" w:eastAsiaTheme="minorEastAsia" w:cstheme="minorEastAsia"/>
                <w:b/>
                <w:kern w:val="2"/>
                <w:sz w:val="21"/>
                <w:szCs w:val="21"/>
                <w:highlight w:val="none"/>
              </w:rPr>
            </w:pPr>
          </w:p>
        </w:tc>
        <w:tc>
          <w:tcPr>
            <w:tcW w:w="4902" w:type="dxa"/>
            <w:noWrap w:val="0"/>
            <w:vAlign w:val="center"/>
          </w:tcPr>
          <w:p>
            <w:pPr>
              <w:adjustRightInd w:val="0"/>
              <w:snapToGrid w:val="0"/>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rPr>
              <w:t>单体液压支柱、</w:t>
            </w:r>
            <w:r>
              <w:rPr>
                <w:rFonts w:hint="eastAsia" w:asciiTheme="minorEastAsia" w:hAnsiTheme="minorEastAsia" w:eastAsiaTheme="minorEastAsia" w:cstheme="minorEastAsia"/>
                <w:color w:val="0070C0"/>
                <w:kern w:val="0"/>
                <w:sz w:val="21"/>
                <w:szCs w:val="21"/>
                <w:highlight w:val="none"/>
              </w:rPr>
              <w:t>超前支护设备防倒措施符合作业规程要求；</w:t>
            </w:r>
            <w:r>
              <w:rPr>
                <w:rFonts w:hint="eastAsia" w:asciiTheme="minorEastAsia" w:hAnsiTheme="minorEastAsia" w:eastAsiaTheme="minorEastAsia" w:cstheme="minorEastAsia"/>
                <w:kern w:val="0"/>
                <w:sz w:val="21"/>
                <w:szCs w:val="21"/>
                <w:highlight w:val="none"/>
              </w:rPr>
              <w:t>工作面倾角大于15°时，液压支架有防倒、防滑措施，其他设备有防滑措施；倾角大于25°时，有防止煤（矸）窜出伤人的措施</w:t>
            </w:r>
          </w:p>
        </w:tc>
        <w:tc>
          <w:tcPr>
            <w:tcW w:w="4740" w:type="dxa"/>
            <w:noWrap w:val="0"/>
            <w:vAlign w:val="center"/>
          </w:tcPr>
          <w:p>
            <w:pPr>
              <w:pStyle w:val="14"/>
              <w:snapToGrid w:val="0"/>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z w:val="21"/>
                <w:szCs w:val="21"/>
                <w:highlight w:val="none"/>
              </w:rPr>
              <w:t>3.单体液压支柱有防倒措施；工作面倾角大于15º时，液压支架有防倒、防滑措施，其他设备有防滑措施；倾角大于25º时，有防止煤（矸）窜出伤人的措施</w:t>
            </w:r>
          </w:p>
        </w:tc>
        <w:tc>
          <w:tcPr>
            <w:tcW w:w="2342" w:type="dxa"/>
            <w:noWrap w:val="0"/>
            <w:vAlign w:val="center"/>
          </w:tcPr>
          <w:p>
            <w:pPr>
              <w:adjustRightInd w:val="0"/>
              <w:snapToGrid w:val="0"/>
              <w:jc w:val="center"/>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eastAsia="zh-CN"/>
              </w:rPr>
              <w:t>新增</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837" w:hRule="atLeast"/>
          <w:jc w:val="center"/>
        </w:trPr>
        <w:tc>
          <w:tcPr>
            <w:tcW w:w="964" w:type="dxa"/>
            <w:vMerge w:val="continue"/>
            <w:tcBorders>
              <w:top w:val="single" w:color="auto" w:sz="6" w:space="0"/>
              <w:left w:val="nil"/>
            </w:tcBorders>
            <w:noWrap w:val="0"/>
            <w:textDirection w:val="tbRlV"/>
            <w:vAlign w:val="center"/>
          </w:tcPr>
          <w:p>
            <w:pPr>
              <w:adjustRightInd w:val="0"/>
              <w:snapToGrid w:val="0"/>
              <w:ind w:left="113" w:right="113"/>
              <w:jc w:val="center"/>
              <w:rPr>
                <w:rFonts w:hint="eastAsia" w:asciiTheme="minorEastAsia" w:hAnsiTheme="minorEastAsia" w:eastAsiaTheme="minorEastAsia" w:cstheme="minorEastAsia"/>
                <w:b/>
                <w:kern w:val="0"/>
                <w:sz w:val="21"/>
                <w:szCs w:val="21"/>
                <w:highlight w:val="none"/>
              </w:rPr>
            </w:pPr>
          </w:p>
        </w:tc>
        <w:tc>
          <w:tcPr>
            <w:tcW w:w="990" w:type="dxa"/>
            <w:vMerge w:val="continue"/>
            <w:tcBorders>
              <w:top w:val="single" w:color="auto" w:sz="6" w:space="0"/>
            </w:tcBorders>
            <w:noWrap w:val="0"/>
            <w:vAlign w:val="center"/>
          </w:tcPr>
          <w:p>
            <w:pPr>
              <w:pStyle w:val="14"/>
              <w:snapToGrid w:val="0"/>
              <w:jc w:val="both"/>
              <w:rPr>
                <w:rFonts w:hint="eastAsia" w:asciiTheme="minorEastAsia" w:hAnsiTheme="minorEastAsia" w:eastAsiaTheme="minorEastAsia" w:cstheme="minorEastAsia"/>
                <w:b/>
                <w:kern w:val="2"/>
                <w:sz w:val="21"/>
                <w:szCs w:val="21"/>
                <w:highlight w:val="none"/>
              </w:rPr>
            </w:pPr>
          </w:p>
        </w:tc>
        <w:tc>
          <w:tcPr>
            <w:tcW w:w="4902" w:type="dxa"/>
            <w:tcBorders>
              <w:top w:val="single" w:color="auto" w:sz="6" w:space="0"/>
            </w:tcBorders>
            <w:noWrap w:val="0"/>
            <w:vAlign w:val="center"/>
          </w:tcPr>
          <w:p>
            <w:pPr>
              <w:adjustRightInd w:val="0"/>
              <w:snapToGrid w:val="0"/>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rPr>
              <w:t>行人通过的刮板输送机机尾设盖板；带式输送机、</w:t>
            </w:r>
            <w:r>
              <w:rPr>
                <w:rFonts w:hint="eastAsia" w:asciiTheme="minorEastAsia" w:hAnsiTheme="minorEastAsia" w:eastAsiaTheme="minorEastAsia" w:cstheme="minorEastAsia"/>
                <w:color w:val="0070C0"/>
                <w:kern w:val="0"/>
                <w:sz w:val="21"/>
                <w:szCs w:val="21"/>
                <w:highlight w:val="none"/>
              </w:rPr>
              <w:t>转载机行人跨越处有过桥</w:t>
            </w:r>
          </w:p>
        </w:tc>
        <w:tc>
          <w:tcPr>
            <w:tcW w:w="4740" w:type="dxa"/>
            <w:tcBorders>
              <w:top w:val="single" w:color="auto" w:sz="6" w:space="0"/>
            </w:tcBorders>
            <w:noWrap w:val="0"/>
            <w:vAlign w:val="center"/>
          </w:tcPr>
          <w:p>
            <w:pPr>
              <w:pStyle w:val="14"/>
              <w:snapToGrid w:val="0"/>
              <w:jc w:val="both"/>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z w:val="21"/>
                <w:szCs w:val="21"/>
                <w:highlight w:val="none"/>
              </w:rPr>
              <w:t>4.行人通过的刮板输送机机尾设盖板；带式输送机行人跨越处有过桥；工作面刮板输送机信号闭锁符合要求</w:t>
            </w:r>
          </w:p>
        </w:tc>
        <w:tc>
          <w:tcPr>
            <w:tcW w:w="2342" w:type="dxa"/>
            <w:tcBorders>
              <w:top w:val="single" w:color="auto" w:sz="6" w:space="0"/>
            </w:tcBorders>
            <w:noWrap w:val="0"/>
            <w:vAlign w:val="center"/>
          </w:tcPr>
          <w:p>
            <w:pPr>
              <w:adjustRightInd w:val="0"/>
              <w:snapToGrid w:val="0"/>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eastAsia="zh-CN"/>
              </w:rPr>
              <w:t>新增</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105" w:hRule="atLeast"/>
          <w:jc w:val="center"/>
        </w:trPr>
        <w:tc>
          <w:tcPr>
            <w:tcW w:w="964" w:type="dxa"/>
            <w:vMerge w:val="continue"/>
            <w:tcBorders>
              <w:top w:val="single" w:color="auto" w:sz="6" w:space="0"/>
              <w:left w:val="nil"/>
            </w:tcBorders>
            <w:noWrap w:val="0"/>
            <w:textDirection w:val="tbRlV"/>
            <w:vAlign w:val="center"/>
          </w:tcPr>
          <w:p>
            <w:pPr>
              <w:adjustRightInd w:val="0"/>
              <w:snapToGrid w:val="0"/>
              <w:ind w:left="113" w:right="113"/>
              <w:jc w:val="center"/>
              <w:rPr>
                <w:rFonts w:hint="eastAsia" w:asciiTheme="minorEastAsia" w:hAnsiTheme="minorEastAsia" w:eastAsiaTheme="minorEastAsia" w:cstheme="minorEastAsia"/>
                <w:b/>
                <w:kern w:val="0"/>
                <w:sz w:val="21"/>
                <w:szCs w:val="21"/>
                <w:highlight w:val="none"/>
              </w:rPr>
            </w:pPr>
          </w:p>
        </w:tc>
        <w:tc>
          <w:tcPr>
            <w:tcW w:w="990" w:type="dxa"/>
            <w:vMerge w:val="continue"/>
            <w:tcBorders>
              <w:top w:val="single" w:color="auto" w:sz="6" w:space="0"/>
            </w:tcBorders>
            <w:noWrap w:val="0"/>
            <w:vAlign w:val="center"/>
          </w:tcPr>
          <w:p>
            <w:pPr>
              <w:pStyle w:val="14"/>
              <w:snapToGrid w:val="0"/>
              <w:jc w:val="both"/>
              <w:rPr>
                <w:rFonts w:hint="eastAsia" w:asciiTheme="minorEastAsia" w:hAnsiTheme="minorEastAsia" w:eastAsiaTheme="minorEastAsia" w:cstheme="minorEastAsia"/>
                <w:b/>
                <w:kern w:val="2"/>
                <w:sz w:val="21"/>
                <w:szCs w:val="21"/>
                <w:highlight w:val="none"/>
              </w:rPr>
            </w:pPr>
          </w:p>
        </w:tc>
        <w:tc>
          <w:tcPr>
            <w:tcW w:w="4902" w:type="dxa"/>
            <w:tcBorders>
              <w:top w:val="single" w:color="auto" w:sz="6" w:space="0"/>
            </w:tcBorders>
            <w:noWrap w:val="0"/>
            <w:vAlign w:val="center"/>
          </w:tcPr>
          <w:p>
            <w:pPr>
              <w:adjustRightInd w:val="0"/>
              <w:snapToGrid w:val="0"/>
              <w:rPr>
                <w:rFonts w:hint="eastAsia" w:asciiTheme="minorEastAsia" w:hAnsiTheme="minorEastAsia" w:eastAsiaTheme="minorEastAsia" w:cstheme="minorEastAsia"/>
                <w:color w:val="0070C0"/>
                <w:kern w:val="0"/>
                <w:sz w:val="21"/>
                <w:szCs w:val="21"/>
                <w:highlight w:val="none"/>
                <w:lang w:val="en-US" w:eastAsia="zh-CN" w:bidi="ar-SA"/>
              </w:rPr>
            </w:pPr>
            <w:r>
              <w:rPr>
                <w:rFonts w:hint="eastAsia" w:asciiTheme="minorEastAsia" w:hAnsiTheme="minorEastAsia" w:eastAsiaTheme="minorEastAsia" w:cstheme="minorEastAsia"/>
                <w:color w:val="0070C0"/>
                <w:kern w:val="0"/>
                <w:sz w:val="21"/>
                <w:szCs w:val="21"/>
                <w:highlight w:val="none"/>
              </w:rPr>
              <w:t>各种液压设备操纵阀手把能实现自动闭锁或有限位装置；液压支架电液控制装置控制器有防护，架间主进回液管有护套</w:t>
            </w:r>
          </w:p>
        </w:tc>
        <w:tc>
          <w:tcPr>
            <w:tcW w:w="4740" w:type="dxa"/>
            <w:tcBorders>
              <w:top w:val="single" w:color="auto" w:sz="6" w:space="0"/>
            </w:tcBorders>
            <w:noWrap w:val="0"/>
            <w:vAlign w:val="center"/>
          </w:tcPr>
          <w:p>
            <w:pPr>
              <w:pStyle w:val="14"/>
              <w:snapToGrid w:val="0"/>
              <w:jc w:val="both"/>
              <w:rPr>
                <w:rFonts w:hint="eastAsia" w:asciiTheme="minorEastAsia" w:hAnsiTheme="minorEastAsia" w:eastAsiaTheme="minorEastAsia" w:cstheme="minorEastAsia"/>
                <w:sz w:val="21"/>
                <w:szCs w:val="21"/>
                <w:highlight w:val="none"/>
              </w:rPr>
            </w:pPr>
          </w:p>
        </w:tc>
        <w:tc>
          <w:tcPr>
            <w:tcW w:w="2342" w:type="dxa"/>
            <w:tcBorders>
              <w:top w:val="single" w:color="auto" w:sz="6" w:space="0"/>
            </w:tcBorders>
            <w:noWrap w:val="0"/>
            <w:vAlign w:val="center"/>
          </w:tcPr>
          <w:p>
            <w:pPr>
              <w:adjustRightInd w:val="0"/>
              <w:snapToGrid w:val="0"/>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eastAsia="zh-CN"/>
              </w:rPr>
              <w:t>新增</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837" w:hRule="atLeast"/>
          <w:jc w:val="center"/>
        </w:trPr>
        <w:tc>
          <w:tcPr>
            <w:tcW w:w="964" w:type="dxa"/>
            <w:vMerge w:val="continue"/>
            <w:tcBorders>
              <w:left w:val="nil"/>
            </w:tcBorders>
            <w:noWrap w:val="0"/>
            <w:textDirection w:val="tbRlV"/>
            <w:vAlign w:val="center"/>
          </w:tcPr>
          <w:p>
            <w:pPr>
              <w:adjustRightInd w:val="0"/>
              <w:snapToGrid w:val="0"/>
              <w:ind w:left="113" w:right="113"/>
              <w:jc w:val="center"/>
              <w:rPr>
                <w:rFonts w:hint="eastAsia" w:asciiTheme="minorEastAsia" w:hAnsiTheme="minorEastAsia" w:eastAsiaTheme="minorEastAsia" w:cstheme="minorEastAsia"/>
                <w:b/>
                <w:kern w:val="0"/>
                <w:sz w:val="21"/>
                <w:szCs w:val="21"/>
                <w:highlight w:val="none"/>
              </w:rPr>
            </w:pPr>
          </w:p>
        </w:tc>
        <w:tc>
          <w:tcPr>
            <w:tcW w:w="990" w:type="dxa"/>
            <w:vMerge w:val="continue"/>
            <w:noWrap w:val="0"/>
            <w:vAlign w:val="center"/>
          </w:tcPr>
          <w:p>
            <w:pPr>
              <w:pStyle w:val="14"/>
              <w:snapToGrid w:val="0"/>
              <w:jc w:val="both"/>
              <w:rPr>
                <w:rFonts w:hint="eastAsia" w:asciiTheme="minorEastAsia" w:hAnsiTheme="minorEastAsia" w:eastAsiaTheme="minorEastAsia" w:cstheme="minorEastAsia"/>
                <w:b/>
                <w:kern w:val="2"/>
                <w:sz w:val="21"/>
                <w:szCs w:val="21"/>
                <w:highlight w:val="none"/>
              </w:rPr>
            </w:pPr>
          </w:p>
        </w:tc>
        <w:tc>
          <w:tcPr>
            <w:tcW w:w="4902" w:type="dxa"/>
            <w:noWrap w:val="0"/>
            <w:vAlign w:val="center"/>
          </w:tcPr>
          <w:p>
            <w:pPr>
              <w:adjustRightInd w:val="0"/>
              <w:snapToGrid w:val="0"/>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color w:val="0070C0"/>
                <w:kern w:val="0"/>
                <w:sz w:val="21"/>
                <w:szCs w:val="21"/>
                <w:highlight w:val="none"/>
              </w:rPr>
              <w:t>破碎机入口前安装急停闭锁装置，入口处安装3根以上防护链；转载机未封闭段有安全防护</w:t>
            </w:r>
          </w:p>
        </w:tc>
        <w:tc>
          <w:tcPr>
            <w:tcW w:w="4740" w:type="dxa"/>
            <w:noWrap w:val="0"/>
            <w:vAlign w:val="center"/>
          </w:tcPr>
          <w:p>
            <w:pPr>
              <w:pStyle w:val="14"/>
              <w:snapToGrid w:val="0"/>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z w:val="21"/>
                <w:szCs w:val="21"/>
                <w:highlight w:val="none"/>
              </w:rPr>
              <w:t>5.破碎机安全防护装置齐全有效</w:t>
            </w:r>
          </w:p>
        </w:tc>
        <w:tc>
          <w:tcPr>
            <w:tcW w:w="2342" w:type="dxa"/>
            <w:noWrap w:val="0"/>
            <w:vAlign w:val="center"/>
          </w:tcPr>
          <w:p>
            <w:pPr>
              <w:adjustRightInd w:val="0"/>
              <w:snapToGrid w:val="0"/>
              <w:jc w:val="center"/>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eastAsia="zh-CN"/>
              </w:rPr>
              <w:t>新增</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699" w:hRule="atLeast"/>
          <w:jc w:val="center"/>
        </w:trPr>
        <w:tc>
          <w:tcPr>
            <w:tcW w:w="964" w:type="dxa"/>
            <w:vMerge w:val="restart"/>
            <w:tcBorders>
              <w:left w:val="nil"/>
            </w:tcBorders>
            <w:noWrap w:val="0"/>
            <w:textDirection w:val="tbRlV"/>
            <w:vAlign w:val="center"/>
          </w:tcPr>
          <w:p>
            <w:pPr>
              <w:pStyle w:val="13"/>
              <w:adjustRightInd w:val="0"/>
              <w:snapToGrid w:val="0"/>
              <w:ind w:right="113" w:firstLine="0" w:firstLineChars="0"/>
              <w:jc w:val="center"/>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pacing w:val="40"/>
                <w:sz w:val="21"/>
                <w:szCs w:val="21"/>
                <w:highlight w:val="none"/>
              </w:rPr>
              <w:t>三、机电设备（20分）</w:t>
            </w:r>
          </w:p>
        </w:tc>
        <w:tc>
          <w:tcPr>
            <w:tcW w:w="990" w:type="dxa"/>
            <w:vMerge w:val="restart"/>
            <w:noWrap w:val="0"/>
            <w:vAlign w:val="center"/>
          </w:tcPr>
          <w:p>
            <w:pPr>
              <w:adjustRightInd w:val="0"/>
              <w:snapToGrid w:val="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设备选型</w:t>
            </w:r>
          </w:p>
        </w:tc>
        <w:tc>
          <w:tcPr>
            <w:tcW w:w="4902" w:type="dxa"/>
            <w:noWrap w:val="0"/>
            <w:vAlign w:val="center"/>
          </w:tcPr>
          <w:p>
            <w:pPr>
              <w:widowControl/>
              <w:adjustRightInd w:val="0"/>
              <w:snapToGrid w:val="0"/>
              <w:jc w:val="left"/>
              <w:rPr>
                <w:rFonts w:hint="eastAsia" w:asciiTheme="minorEastAsia" w:hAnsiTheme="minorEastAsia" w:eastAsiaTheme="minorEastAsia" w:cstheme="minorEastAsia"/>
                <w:kern w:val="0"/>
                <w:sz w:val="21"/>
                <w:szCs w:val="21"/>
                <w:highlight w:val="none"/>
                <w:lang w:val="en-US" w:eastAsia="zh-CN" w:bidi="ar-SA"/>
              </w:rPr>
            </w:pPr>
          </w:p>
        </w:tc>
        <w:tc>
          <w:tcPr>
            <w:tcW w:w="4740" w:type="dxa"/>
            <w:noWrap w:val="0"/>
            <w:vAlign w:val="center"/>
          </w:tcPr>
          <w:p>
            <w:pPr>
              <w:widowControl/>
              <w:adjustRightInd w:val="0"/>
              <w:snapToGrid w:val="0"/>
              <w:jc w:val="left"/>
              <w:rPr>
                <w:rFonts w:hint="eastAsia" w:asciiTheme="minorEastAsia" w:hAnsiTheme="minorEastAsia" w:eastAsiaTheme="minorEastAsia" w:cstheme="minorEastAsia"/>
                <w:color w:val="FF0000"/>
                <w:kern w:val="0"/>
                <w:sz w:val="21"/>
                <w:szCs w:val="21"/>
                <w:highlight w:val="none"/>
              </w:rPr>
            </w:pPr>
            <w:r>
              <w:rPr>
                <w:rFonts w:hint="eastAsia" w:asciiTheme="minorEastAsia" w:hAnsiTheme="minorEastAsia" w:eastAsiaTheme="minorEastAsia" w:cstheme="minorEastAsia"/>
                <w:color w:val="FF0000"/>
                <w:sz w:val="21"/>
                <w:szCs w:val="21"/>
                <w:highlight w:val="none"/>
              </w:rPr>
              <w:t>1.支护装备（泵站、支架及支柱）满足设计要求</w:t>
            </w:r>
          </w:p>
        </w:tc>
        <w:tc>
          <w:tcPr>
            <w:tcW w:w="2342" w:type="dxa"/>
            <w:noWrap w:val="0"/>
            <w:vAlign w:val="center"/>
          </w:tcPr>
          <w:p>
            <w:pPr>
              <w:widowControl/>
              <w:adjustRightInd w:val="0"/>
              <w:snapToGrid w:val="0"/>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615" w:hRule="atLeast"/>
          <w:jc w:val="center"/>
        </w:trPr>
        <w:tc>
          <w:tcPr>
            <w:tcW w:w="964" w:type="dxa"/>
            <w:vMerge w:val="continue"/>
            <w:tcBorders>
              <w:left w:val="nil"/>
            </w:tcBorders>
            <w:noWrap w:val="0"/>
            <w:textDirection w:val="tbRlV"/>
            <w:vAlign w:val="center"/>
          </w:tcPr>
          <w:p>
            <w:pPr>
              <w:widowControl/>
              <w:adjustRightInd w:val="0"/>
              <w:snapToGrid w:val="0"/>
              <w:ind w:left="113" w:right="113"/>
              <w:jc w:val="left"/>
              <w:rPr>
                <w:rFonts w:hint="eastAsia" w:asciiTheme="minorEastAsia" w:hAnsiTheme="minorEastAsia" w:eastAsiaTheme="minorEastAsia" w:cstheme="minorEastAsia"/>
                <w:b/>
                <w:kern w:val="0"/>
                <w:sz w:val="21"/>
                <w:szCs w:val="21"/>
                <w:highlight w:val="none"/>
              </w:rPr>
            </w:pPr>
          </w:p>
        </w:tc>
        <w:tc>
          <w:tcPr>
            <w:tcW w:w="990" w:type="dxa"/>
            <w:vMerge w:val="continue"/>
            <w:noWrap w:val="0"/>
            <w:vAlign w:val="center"/>
          </w:tcPr>
          <w:p>
            <w:pPr>
              <w:adjustRightInd w:val="0"/>
              <w:snapToGrid w:val="0"/>
              <w:jc w:val="left"/>
              <w:rPr>
                <w:rFonts w:hint="eastAsia" w:asciiTheme="minorEastAsia" w:hAnsiTheme="minorEastAsia" w:eastAsiaTheme="minorEastAsia" w:cstheme="minorEastAsia"/>
                <w:b/>
                <w:kern w:val="0"/>
                <w:sz w:val="21"/>
                <w:szCs w:val="21"/>
                <w:highlight w:val="none"/>
              </w:rPr>
            </w:pPr>
          </w:p>
        </w:tc>
        <w:tc>
          <w:tcPr>
            <w:tcW w:w="4902" w:type="dxa"/>
            <w:noWrap w:val="0"/>
            <w:vAlign w:val="center"/>
          </w:tcPr>
          <w:p>
            <w:pPr>
              <w:widowControl/>
              <w:adjustRightInd w:val="0"/>
              <w:snapToGrid w:val="0"/>
              <w:jc w:val="left"/>
              <w:rPr>
                <w:rFonts w:hint="eastAsia" w:asciiTheme="minorEastAsia" w:hAnsiTheme="minorEastAsia" w:eastAsiaTheme="minorEastAsia" w:cstheme="minorEastAsia"/>
                <w:kern w:val="0"/>
                <w:sz w:val="21"/>
                <w:szCs w:val="21"/>
                <w:highlight w:val="none"/>
                <w:lang w:val="en-US" w:eastAsia="zh-CN" w:bidi="ar-SA"/>
              </w:rPr>
            </w:pPr>
          </w:p>
        </w:tc>
        <w:tc>
          <w:tcPr>
            <w:tcW w:w="4740" w:type="dxa"/>
            <w:noWrap w:val="0"/>
            <w:vAlign w:val="center"/>
          </w:tcPr>
          <w:p>
            <w:pPr>
              <w:widowControl/>
              <w:adjustRightInd w:val="0"/>
              <w:snapToGrid w:val="0"/>
              <w:jc w:val="left"/>
              <w:rPr>
                <w:rFonts w:hint="eastAsia" w:asciiTheme="minorEastAsia" w:hAnsiTheme="minorEastAsia" w:eastAsiaTheme="minorEastAsia" w:cstheme="minorEastAsia"/>
                <w:color w:val="FF0000"/>
                <w:kern w:val="0"/>
                <w:sz w:val="21"/>
                <w:szCs w:val="21"/>
                <w:highlight w:val="none"/>
              </w:rPr>
            </w:pPr>
            <w:r>
              <w:rPr>
                <w:rFonts w:hint="eastAsia" w:asciiTheme="minorEastAsia" w:hAnsiTheme="minorEastAsia" w:eastAsiaTheme="minorEastAsia" w:cstheme="minorEastAsia"/>
                <w:color w:val="FF0000"/>
                <w:kern w:val="0"/>
                <w:sz w:val="21"/>
                <w:szCs w:val="21"/>
                <w:highlight w:val="none"/>
              </w:rPr>
              <w:t>2.生产装备选型、配套合理，满足设计生产能力需要</w:t>
            </w:r>
          </w:p>
        </w:tc>
        <w:tc>
          <w:tcPr>
            <w:tcW w:w="2342" w:type="dxa"/>
            <w:noWrap w:val="0"/>
            <w:vAlign w:val="center"/>
          </w:tcPr>
          <w:p>
            <w:pPr>
              <w:widowControl/>
              <w:adjustRightInd w:val="0"/>
              <w:snapToGrid w:val="0"/>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eastAsia="zh-CN"/>
              </w:rPr>
              <w:t>删除</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0" w:hRule="atLeast"/>
          <w:jc w:val="center"/>
        </w:trPr>
        <w:tc>
          <w:tcPr>
            <w:tcW w:w="964" w:type="dxa"/>
            <w:vMerge w:val="continue"/>
            <w:tcBorders>
              <w:left w:val="nil"/>
            </w:tcBorders>
            <w:noWrap w:val="0"/>
            <w:textDirection w:val="tbRlV"/>
            <w:vAlign w:val="center"/>
          </w:tcPr>
          <w:p>
            <w:pPr>
              <w:widowControl/>
              <w:adjustRightInd w:val="0"/>
              <w:snapToGrid w:val="0"/>
              <w:ind w:left="113" w:right="113"/>
              <w:jc w:val="left"/>
              <w:rPr>
                <w:rFonts w:hint="eastAsia" w:asciiTheme="minorEastAsia" w:hAnsiTheme="minorEastAsia" w:eastAsiaTheme="minorEastAsia" w:cstheme="minorEastAsia"/>
                <w:b/>
                <w:kern w:val="0"/>
                <w:sz w:val="21"/>
                <w:szCs w:val="21"/>
                <w:highlight w:val="none"/>
              </w:rPr>
            </w:pPr>
          </w:p>
        </w:tc>
        <w:tc>
          <w:tcPr>
            <w:tcW w:w="990" w:type="dxa"/>
            <w:vMerge w:val="continue"/>
            <w:noWrap w:val="0"/>
            <w:vAlign w:val="center"/>
          </w:tcPr>
          <w:p>
            <w:pPr>
              <w:widowControl/>
              <w:adjustRightInd w:val="0"/>
              <w:snapToGrid w:val="0"/>
              <w:jc w:val="left"/>
              <w:rPr>
                <w:rFonts w:hint="eastAsia" w:asciiTheme="minorEastAsia" w:hAnsiTheme="minorEastAsia" w:eastAsiaTheme="minorEastAsia" w:cstheme="minorEastAsia"/>
                <w:b/>
                <w:kern w:val="0"/>
                <w:sz w:val="21"/>
                <w:szCs w:val="21"/>
                <w:highlight w:val="none"/>
              </w:rPr>
            </w:pPr>
          </w:p>
        </w:tc>
        <w:tc>
          <w:tcPr>
            <w:tcW w:w="4902" w:type="dxa"/>
            <w:noWrap w:val="0"/>
            <w:vAlign w:val="center"/>
          </w:tcPr>
          <w:p>
            <w:pPr>
              <w:widowControl/>
              <w:adjustRightInd w:val="0"/>
              <w:snapToGrid w:val="0"/>
              <w:jc w:val="left"/>
              <w:rPr>
                <w:rFonts w:hint="eastAsia" w:asciiTheme="minorEastAsia" w:hAnsiTheme="minorEastAsia" w:eastAsiaTheme="minorEastAsia" w:cstheme="minorEastAsia"/>
                <w:kern w:val="0"/>
                <w:sz w:val="21"/>
                <w:szCs w:val="21"/>
                <w:highlight w:val="none"/>
                <w:lang w:val="en-US" w:eastAsia="zh-CN" w:bidi="ar-SA"/>
              </w:rPr>
            </w:pPr>
          </w:p>
        </w:tc>
        <w:tc>
          <w:tcPr>
            <w:tcW w:w="4740" w:type="dxa"/>
            <w:noWrap w:val="0"/>
            <w:vAlign w:val="center"/>
          </w:tcPr>
          <w:p>
            <w:pPr>
              <w:widowControl/>
              <w:adjustRightInd w:val="0"/>
              <w:snapToGrid w:val="0"/>
              <w:jc w:val="left"/>
              <w:rPr>
                <w:rFonts w:hint="eastAsia" w:asciiTheme="minorEastAsia" w:hAnsiTheme="minorEastAsia" w:eastAsiaTheme="minorEastAsia" w:cstheme="minorEastAsia"/>
                <w:color w:val="FF0000"/>
                <w:kern w:val="0"/>
                <w:sz w:val="21"/>
                <w:szCs w:val="21"/>
                <w:highlight w:val="none"/>
              </w:rPr>
            </w:pPr>
            <w:r>
              <w:rPr>
                <w:rFonts w:hint="eastAsia" w:asciiTheme="minorEastAsia" w:hAnsiTheme="minorEastAsia" w:eastAsiaTheme="minorEastAsia" w:cstheme="minorEastAsia"/>
                <w:color w:val="FF0000"/>
                <w:kern w:val="0"/>
                <w:sz w:val="21"/>
                <w:szCs w:val="21"/>
                <w:highlight w:val="none"/>
              </w:rPr>
              <w:t>3.电气设备满足生产、支护装备安全运行的需要</w:t>
            </w:r>
          </w:p>
        </w:tc>
        <w:tc>
          <w:tcPr>
            <w:tcW w:w="2342" w:type="dxa"/>
            <w:noWrap w:val="0"/>
            <w:vAlign w:val="center"/>
          </w:tcPr>
          <w:p>
            <w:pPr>
              <w:widowControl/>
              <w:adjustRightInd w:val="0"/>
              <w:snapToGrid w:val="0"/>
              <w:jc w:val="center"/>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eastAsia="zh-CN"/>
              </w:rPr>
              <w:t>删除</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793" w:hRule="atLeast"/>
          <w:jc w:val="center"/>
        </w:trPr>
        <w:tc>
          <w:tcPr>
            <w:tcW w:w="964" w:type="dxa"/>
            <w:vMerge w:val="continue"/>
            <w:tcBorders>
              <w:left w:val="nil"/>
            </w:tcBorders>
            <w:noWrap w:val="0"/>
            <w:textDirection w:val="tbRlV"/>
            <w:vAlign w:val="center"/>
          </w:tcPr>
          <w:p>
            <w:pPr>
              <w:widowControl/>
              <w:adjustRightInd w:val="0"/>
              <w:snapToGrid w:val="0"/>
              <w:ind w:left="113" w:right="113"/>
              <w:jc w:val="left"/>
              <w:rPr>
                <w:rFonts w:hint="eastAsia" w:asciiTheme="minorEastAsia" w:hAnsiTheme="minorEastAsia" w:eastAsiaTheme="minorEastAsia" w:cstheme="minorEastAsia"/>
                <w:b/>
                <w:kern w:val="0"/>
                <w:sz w:val="21"/>
                <w:szCs w:val="21"/>
                <w:highlight w:val="none"/>
              </w:rPr>
            </w:pPr>
          </w:p>
        </w:tc>
        <w:tc>
          <w:tcPr>
            <w:tcW w:w="990" w:type="dxa"/>
            <w:vMerge w:val="restart"/>
            <w:noWrap w:val="0"/>
            <w:vAlign w:val="center"/>
          </w:tcPr>
          <w:p>
            <w:pPr>
              <w:widowControl/>
              <w:adjustRightInd w:val="0"/>
              <w:snapToGrid w:val="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设备管理</w:t>
            </w:r>
          </w:p>
        </w:tc>
        <w:tc>
          <w:tcPr>
            <w:tcW w:w="4902" w:type="dxa"/>
            <w:noWrap w:val="0"/>
            <w:vAlign w:val="center"/>
          </w:tcPr>
          <w:p>
            <w:pPr>
              <w:adjustRightInd w:val="0"/>
              <w:snapToGrid w:val="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1.乳化液泵站完好，乳化液泵站压力综采（放）工作面不小于30MPa，炮采、高档普采工作面不小于18MPa，乳化液（浓缩液）浓度符合产品技术标准要求，并在作业规程中明确规定；</w:t>
            </w:r>
          </w:p>
          <w:p>
            <w:pPr>
              <w:adjustRightInd w:val="0"/>
              <w:snapToGrid w:val="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2.液压系统无漏、窜液，部件无缺损，管路无挤压，连接销使用规范；注液枪完好；</w:t>
            </w:r>
          </w:p>
          <w:p>
            <w:pPr>
              <w:adjustRightInd w:val="0"/>
              <w:snapToGrid w:val="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3.采用电液阀控制时，净化水装置运行正常，水质、水量满足要求；</w:t>
            </w:r>
          </w:p>
          <w:p>
            <w:pPr>
              <w:widowControl/>
              <w:adjustRightInd w:val="0"/>
              <w:snapToGrid w:val="0"/>
              <w:jc w:val="left"/>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rPr>
              <w:t>4.各种液压设备及辅件合格、齐全、完好，控制阀有效，耐压等级符合要求</w:t>
            </w:r>
          </w:p>
        </w:tc>
        <w:tc>
          <w:tcPr>
            <w:tcW w:w="4740" w:type="dxa"/>
            <w:noWrap w:val="0"/>
            <w:vAlign w:val="center"/>
          </w:tcPr>
          <w:p>
            <w:pPr>
              <w:widowControl/>
              <w:adjustRightInd w:val="0"/>
              <w:snapToGrid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1.泵站：</w:t>
            </w:r>
          </w:p>
          <w:p>
            <w:pPr>
              <w:widowControl/>
              <w:adjustRightInd w:val="0"/>
              <w:snapToGrid w:val="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rPr>
              <w:t>（1）乳化液泵站完好，乳化液泵站压力综采（放）工作面不小于30MPa，炮采、高档普采工作面不小于18 MPa，乳化液（浓缩液）浓度符合产品技术标准要求，并在作业规程中明确规定；</w:t>
            </w:r>
            <w:r>
              <w:rPr>
                <w:rFonts w:hint="eastAsia" w:asciiTheme="minorEastAsia" w:hAnsiTheme="minorEastAsia" w:eastAsiaTheme="minorEastAsia" w:cstheme="minorEastAsia"/>
                <w:sz w:val="21"/>
                <w:szCs w:val="21"/>
                <w:highlight w:val="none"/>
              </w:rPr>
              <w:br w:type="textWrapping"/>
            </w:r>
            <w:r>
              <w:rPr>
                <w:rFonts w:hint="eastAsia" w:asciiTheme="minorEastAsia" w:hAnsiTheme="minorEastAsia" w:eastAsiaTheme="minorEastAsia" w:cstheme="minorEastAsia"/>
                <w:sz w:val="21"/>
                <w:szCs w:val="21"/>
                <w:highlight w:val="none"/>
              </w:rPr>
              <w:t>（2）液压系统无漏、窜液，部件无缺损，管路无挤压，连接销使用规范；注液枪完好，控制阀有效；</w:t>
            </w:r>
            <w:r>
              <w:rPr>
                <w:rFonts w:hint="eastAsia" w:asciiTheme="minorEastAsia" w:hAnsiTheme="minorEastAsia" w:eastAsiaTheme="minorEastAsia" w:cstheme="minorEastAsia"/>
                <w:sz w:val="21"/>
                <w:szCs w:val="21"/>
                <w:highlight w:val="none"/>
              </w:rPr>
              <w:br w:type="textWrapping"/>
            </w:r>
            <w:r>
              <w:rPr>
                <w:rFonts w:hint="eastAsia" w:asciiTheme="minorEastAsia" w:hAnsiTheme="minorEastAsia" w:eastAsiaTheme="minorEastAsia" w:cstheme="minorEastAsia"/>
                <w:sz w:val="21"/>
                <w:szCs w:val="21"/>
                <w:highlight w:val="none"/>
              </w:rPr>
              <w:t>（3）采用电液阀控制时，净化水装置运行正常，水质、水量满足要求；</w:t>
            </w:r>
            <w:r>
              <w:rPr>
                <w:rFonts w:hint="eastAsia" w:asciiTheme="minorEastAsia" w:hAnsiTheme="minorEastAsia" w:eastAsiaTheme="minorEastAsia" w:cstheme="minorEastAsia"/>
                <w:sz w:val="21"/>
                <w:szCs w:val="21"/>
                <w:highlight w:val="none"/>
              </w:rPr>
              <w:br w:type="textWrapping"/>
            </w:r>
            <w:r>
              <w:rPr>
                <w:rFonts w:hint="eastAsia" w:asciiTheme="minorEastAsia" w:hAnsiTheme="minorEastAsia" w:eastAsiaTheme="minorEastAsia" w:cstheme="minorEastAsia"/>
                <w:sz w:val="21"/>
                <w:szCs w:val="21"/>
                <w:highlight w:val="none"/>
              </w:rPr>
              <w:t>（4）各种液压设备及辅件合格、齐全、完好，控制阀有效，耐压等级符合要求，操纵阀手把有限位装置</w:t>
            </w:r>
          </w:p>
        </w:tc>
        <w:tc>
          <w:tcPr>
            <w:tcW w:w="2342" w:type="dxa"/>
            <w:noWrap w:val="0"/>
            <w:vAlign w:val="center"/>
          </w:tcPr>
          <w:p>
            <w:pPr>
              <w:widowControl/>
              <w:adjustRightInd w:val="0"/>
              <w:snapToGrid w:val="0"/>
              <w:jc w:val="center"/>
              <w:rPr>
                <w:rFonts w:hint="eastAsia" w:asciiTheme="minorEastAsia" w:hAnsiTheme="minorEastAsia" w:eastAsiaTheme="minorEastAsia" w:cstheme="minorEastAsia"/>
                <w:b w:val="0"/>
                <w:bCs w:val="0"/>
                <w:color w:val="auto"/>
                <w:kern w:val="0"/>
                <w:sz w:val="21"/>
                <w:szCs w:val="21"/>
                <w:highlight w:val="none"/>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31" w:hRule="atLeast"/>
          <w:jc w:val="center"/>
        </w:trPr>
        <w:tc>
          <w:tcPr>
            <w:tcW w:w="964" w:type="dxa"/>
            <w:vMerge w:val="continue"/>
            <w:tcBorders>
              <w:left w:val="nil"/>
            </w:tcBorders>
            <w:noWrap w:val="0"/>
            <w:textDirection w:val="tbRlV"/>
            <w:vAlign w:val="center"/>
          </w:tcPr>
          <w:p>
            <w:pPr>
              <w:widowControl/>
              <w:adjustRightInd w:val="0"/>
              <w:snapToGrid w:val="0"/>
              <w:ind w:left="113" w:right="113"/>
              <w:jc w:val="left"/>
              <w:rPr>
                <w:rFonts w:hint="eastAsia" w:asciiTheme="minorEastAsia" w:hAnsiTheme="minorEastAsia" w:eastAsiaTheme="minorEastAsia" w:cstheme="minorEastAsia"/>
                <w:kern w:val="0"/>
                <w:sz w:val="21"/>
                <w:szCs w:val="21"/>
                <w:highlight w:val="none"/>
              </w:rPr>
            </w:pPr>
          </w:p>
        </w:tc>
        <w:tc>
          <w:tcPr>
            <w:tcW w:w="990" w:type="dxa"/>
            <w:vMerge w:val="continue"/>
            <w:noWrap w:val="0"/>
            <w:vAlign w:val="center"/>
          </w:tcPr>
          <w:p>
            <w:pPr>
              <w:widowControl/>
              <w:adjustRightInd w:val="0"/>
              <w:snapToGrid w:val="0"/>
              <w:jc w:val="left"/>
              <w:rPr>
                <w:rFonts w:hint="eastAsia" w:asciiTheme="minorEastAsia" w:hAnsiTheme="minorEastAsia" w:eastAsiaTheme="minorEastAsia" w:cstheme="minorEastAsia"/>
                <w:kern w:val="0"/>
                <w:sz w:val="21"/>
                <w:szCs w:val="21"/>
                <w:highlight w:val="none"/>
              </w:rPr>
            </w:pPr>
          </w:p>
        </w:tc>
        <w:tc>
          <w:tcPr>
            <w:tcW w:w="4902" w:type="dxa"/>
            <w:noWrap w:val="0"/>
            <w:vAlign w:val="center"/>
          </w:tcPr>
          <w:p>
            <w:pPr>
              <w:adjustRightInd w:val="0"/>
              <w:snapToGrid w:val="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1.采（刨）煤机完好；电气保护齐全可靠；</w:t>
            </w:r>
          </w:p>
          <w:p>
            <w:pPr>
              <w:adjustRightInd w:val="0"/>
              <w:snapToGrid w:val="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2.采煤机有停止工作面刮板输送机的闭锁装置；</w:t>
            </w:r>
          </w:p>
          <w:p>
            <w:pPr>
              <w:adjustRightInd w:val="0"/>
              <w:snapToGrid w:val="0"/>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3.采（刨）煤机设置甲烷断电仪且灵敏可靠；</w:t>
            </w:r>
          </w:p>
          <w:p>
            <w:pPr>
              <w:adjustRightInd w:val="0"/>
              <w:snapToGrid w:val="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4.采（刨）煤机截齿、喷雾装置、冷却系统符合规定，喷雾有效；</w:t>
            </w:r>
          </w:p>
          <w:p>
            <w:pPr>
              <w:adjustRightInd w:val="0"/>
              <w:snapToGrid w:val="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w:t>
            </w:r>
            <w:r>
              <w:rPr>
                <w:rFonts w:hint="eastAsia" w:asciiTheme="minorEastAsia" w:hAnsiTheme="minorEastAsia" w:eastAsiaTheme="minorEastAsia" w:cstheme="minorEastAsia"/>
                <w:color w:val="auto"/>
                <w:kern w:val="0"/>
                <w:sz w:val="21"/>
                <w:szCs w:val="21"/>
                <w:highlight w:val="none"/>
              </w:rPr>
              <w:t>刨煤机工作面至少每隔30m装设能随时停止刨头和刮板输送机的装置或向刨煤机司机发送信号的装置；有刨头位置指示器；</w:t>
            </w:r>
          </w:p>
          <w:p>
            <w:pPr>
              <w:widowControl/>
              <w:adjustRightInd w:val="0"/>
              <w:snapToGrid w:val="0"/>
              <w:jc w:val="left"/>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rPr>
              <w:t>6.采煤机具备遥控功能</w:t>
            </w:r>
          </w:p>
        </w:tc>
        <w:tc>
          <w:tcPr>
            <w:tcW w:w="4740" w:type="dxa"/>
            <w:noWrap w:val="0"/>
            <w:vAlign w:val="center"/>
          </w:tcPr>
          <w:p>
            <w:pPr>
              <w:pStyle w:val="15"/>
              <w:widowControl w:val="0"/>
              <w:adjustRightInd w:val="0"/>
              <w:snapToGrid w:val="0"/>
              <w:spacing w:beforeLines="0" w:afterLines="0"/>
              <w:ind w:left="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2.采（刨）煤机：</w:t>
            </w:r>
          </w:p>
          <w:p>
            <w:pPr>
              <w:pStyle w:val="15"/>
              <w:adjustRightInd w:val="0"/>
              <w:snapToGrid w:val="0"/>
              <w:spacing w:beforeLines="0" w:afterLines="0"/>
              <w:ind w:left="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（1）采（刨）煤机完好；</w:t>
            </w:r>
          </w:p>
          <w:p>
            <w:pPr>
              <w:pStyle w:val="15"/>
              <w:adjustRightInd w:val="0"/>
              <w:snapToGrid w:val="0"/>
              <w:spacing w:beforeLines="0" w:afterLines="0"/>
              <w:ind w:left="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（2）采煤机有停止工作面刮板输送机的闭锁装置；</w:t>
            </w:r>
          </w:p>
          <w:p>
            <w:pPr>
              <w:pStyle w:val="15"/>
              <w:adjustRightInd w:val="0"/>
              <w:snapToGrid w:val="0"/>
              <w:spacing w:beforeLines="0" w:afterLines="0"/>
              <w:ind w:left="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（3）采（刨）煤机设置甲烷断电仪或者便携式甲烷检测报警仪，且灵敏可靠；</w:t>
            </w:r>
          </w:p>
          <w:p>
            <w:pPr>
              <w:pStyle w:val="15"/>
              <w:adjustRightInd w:val="0"/>
              <w:snapToGrid w:val="0"/>
              <w:spacing w:beforeLines="0" w:afterLines="0"/>
              <w:ind w:left="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（4）采（刨）煤机截齿、喷雾装置、冷却系统符合规定，内外喷雾有效；</w:t>
            </w:r>
          </w:p>
          <w:p>
            <w:pPr>
              <w:pStyle w:val="15"/>
              <w:adjustRightInd w:val="0"/>
              <w:snapToGrid w:val="0"/>
              <w:spacing w:beforeLines="0" w:afterLines="0"/>
              <w:ind w:left="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（5）采（刨）煤机电气保护齐全可靠；</w:t>
            </w:r>
          </w:p>
          <w:p>
            <w:pPr>
              <w:pStyle w:val="15"/>
              <w:adjustRightInd w:val="0"/>
              <w:snapToGrid w:val="0"/>
              <w:spacing w:beforeLines="0" w:afterLines="0"/>
              <w:ind w:left="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（6）刨煤机工作面至少每隔30m装设能随时停止刨头和刮板输送机的装置或向刨煤机司机发送信号的装置；有刨头位置指示器；</w:t>
            </w:r>
          </w:p>
          <w:p>
            <w:pPr>
              <w:pStyle w:val="15"/>
              <w:adjustRightInd w:val="0"/>
              <w:snapToGrid w:val="0"/>
              <w:spacing w:beforeLines="0" w:afterLines="0"/>
              <w:ind w:left="0"/>
              <w:rPr>
                <w:rFonts w:hint="eastAsia" w:asciiTheme="minorEastAsia" w:hAnsiTheme="minorEastAsia" w:eastAsiaTheme="minorEastAsia" w:cstheme="minorEastAsia"/>
                <w:color w:val="FF0000"/>
                <w:sz w:val="21"/>
                <w:szCs w:val="21"/>
                <w:highlight w:val="none"/>
                <w:lang w:val="en-US" w:eastAsia="zh-CN"/>
              </w:rPr>
            </w:pPr>
            <w:r>
              <w:rPr>
                <w:rFonts w:hint="eastAsia" w:asciiTheme="minorEastAsia" w:hAnsiTheme="minorEastAsia" w:eastAsiaTheme="minorEastAsia" w:cstheme="minorEastAsia"/>
                <w:color w:val="FF0000"/>
                <w:sz w:val="21"/>
                <w:szCs w:val="21"/>
                <w:highlight w:val="none"/>
                <w:lang w:val="en-US" w:eastAsia="zh-CN"/>
              </w:rPr>
              <w:t>（7）大中型采煤机使用软启动控制装置；</w:t>
            </w:r>
          </w:p>
          <w:p>
            <w:pPr>
              <w:pStyle w:val="15"/>
              <w:adjustRightInd w:val="0"/>
              <w:snapToGrid w:val="0"/>
              <w:spacing w:beforeLines="0" w:afterLines="0"/>
              <w:ind w:left="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（8）采煤机具备遥控功能</w:t>
            </w:r>
          </w:p>
        </w:tc>
        <w:tc>
          <w:tcPr>
            <w:tcW w:w="2342" w:type="dxa"/>
            <w:noWrap w:val="0"/>
            <w:vAlign w:val="center"/>
          </w:tcPr>
          <w:p>
            <w:pPr>
              <w:widowControl/>
              <w:adjustRightInd w:val="0"/>
              <w:snapToGrid w:val="0"/>
              <w:jc w:val="center"/>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eastAsia="zh-CN"/>
              </w:rPr>
              <w:t>删除</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599" w:hRule="atLeast"/>
          <w:jc w:val="center"/>
        </w:trPr>
        <w:tc>
          <w:tcPr>
            <w:tcW w:w="964" w:type="dxa"/>
            <w:vMerge w:val="continue"/>
            <w:tcBorders>
              <w:left w:val="nil"/>
            </w:tcBorders>
            <w:noWrap w:val="0"/>
            <w:textDirection w:val="tbRlV"/>
            <w:vAlign w:val="center"/>
          </w:tcPr>
          <w:p>
            <w:pPr>
              <w:widowControl/>
              <w:adjustRightInd w:val="0"/>
              <w:snapToGrid w:val="0"/>
              <w:ind w:left="113" w:right="113"/>
              <w:jc w:val="left"/>
              <w:rPr>
                <w:rFonts w:hint="eastAsia" w:asciiTheme="minorEastAsia" w:hAnsiTheme="minorEastAsia" w:eastAsiaTheme="minorEastAsia" w:cstheme="minorEastAsia"/>
                <w:b/>
                <w:kern w:val="0"/>
                <w:sz w:val="21"/>
                <w:szCs w:val="21"/>
                <w:highlight w:val="none"/>
              </w:rPr>
            </w:pPr>
          </w:p>
        </w:tc>
        <w:tc>
          <w:tcPr>
            <w:tcW w:w="990" w:type="dxa"/>
            <w:vMerge w:val="continue"/>
            <w:noWrap w:val="0"/>
            <w:vAlign w:val="center"/>
          </w:tcPr>
          <w:p>
            <w:pPr>
              <w:widowControl/>
              <w:adjustRightInd w:val="0"/>
              <w:snapToGrid w:val="0"/>
              <w:jc w:val="left"/>
              <w:rPr>
                <w:rFonts w:hint="eastAsia" w:asciiTheme="minorEastAsia" w:hAnsiTheme="minorEastAsia" w:eastAsiaTheme="minorEastAsia" w:cstheme="minorEastAsia"/>
                <w:b/>
                <w:kern w:val="0"/>
                <w:sz w:val="21"/>
                <w:szCs w:val="21"/>
                <w:highlight w:val="none"/>
              </w:rPr>
            </w:pPr>
          </w:p>
        </w:tc>
        <w:tc>
          <w:tcPr>
            <w:tcW w:w="4902" w:type="dxa"/>
            <w:noWrap w:val="0"/>
            <w:vAlign w:val="center"/>
          </w:tcPr>
          <w:p>
            <w:pPr>
              <w:adjustRightInd w:val="0"/>
              <w:snapToGrid w:val="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1.刮板输送机、转载机、破碎机完好；</w:t>
            </w:r>
          </w:p>
          <w:p>
            <w:pPr>
              <w:adjustRightInd w:val="0"/>
              <w:snapToGrid w:val="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2.使用刨煤机采煤、工作面倾角大于12°时，配套的刮板输送机装设防滑、锚固装置；</w:t>
            </w:r>
          </w:p>
          <w:p>
            <w:pPr>
              <w:adjustRightInd w:val="0"/>
              <w:snapToGrid w:val="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3.刮板输送机机头、机尾固定可靠；</w:t>
            </w:r>
          </w:p>
          <w:p>
            <w:pPr>
              <w:adjustRightInd w:val="0"/>
              <w:snapToGrid w:val="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4.刮板输送机、转载机、破碎机的减速器与电动机采用软连接或软启动控制，液力偶合器不使用可燃性传动介质（调速型液力偶合器不受此限），使用合格的易熔塞或防爆片；</w:t>
            </w:r>
          </w:p>
          <w:p>
            <w:pPr>
              <w:adjustRightInd w:val="0"/>
              <w:snapToGrid w:val="0"/>
              <w:rPr>
                <w:rFonts w:hint="eastAsia" w:asciiTheme="minorEastAsia" w:hAnsiTheme="minorEastAsia" w:eastAsiaTheme="minorEastAsia" w:cstheme="minorEastAsia"/>
                <w:color w:val="0070C0"/>
                <w:kern w:val="0"/>
                <w:sz w:val="21"/>
                <w:szCs w:val="21"/>
                <w:highlight w:val="none"/>
              </w:rPr>
            </w:pPr>
            <w:r>
              <w:rPr>
                <w:rFonts w:hint="eastAsia" w:asciiTheme="minorEastAsia" w:hAnsiTheme="minorEastAsia" w:eastAsiaTheme="minorEastAsia" w:cstheme="minorEastAsia"/>
                <w:kern w:val="0"/>
                <w:sz w:val="21"/>
                <w:szCs w:val="21"/>
                <w:highlight w:val="none"/>
              </w:rPr>
              <w:t>5.刮板输送机安设能发出停止、启动信号和通信的装置，</w:t>
            </w:r>
            <w:r>
              <w:rPr>
                <w:rFonts w:hint="eastAsia" w:asciiTheme="minorEastAsia" w:hAnsiTheme="minorEastAsia" w:eastAsiaTheme="minorEastAsia" w:cstheme="minorEastAsia"/>
                <w:color w:val="0070C0"/>
                <w:kern w:val="0"/>
                <w:sz w:val="21"/>
                <w:szCs w:val="21"/>
                <w:highlight w:val="none"/>
              </w:rPr>
              <w:t>间距不超过15m；</w:t>
            </w:r>
          </w:p>
          <w:p>
            <w:pPr>
              <w:widowControl/>
              <w:adjustRightInd w:val="0"/>
              <w:snapToGrid w:val="0"/>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rPr>
              <w:t>6.刮板输送机、转载机、破碎机电气保护齐全可靠，电机采用水冷方式时，水量、水压符合要求</w:t>
            </w:r>
          </w:p>
        </w:tc>
        <w:tc>
          <w:tcPr>
            <w:tcW w:w="4740" w:type="dxa"/>
            <w:noWrap w:val="0"/>
            <w:vAlign w:val="center"/>
          </w:tcPr>
          <w:p>
            <w:pPr>
              <w:pStyle w:val="15"/>
              <w:adjustRightInd w:val="0"/>
              <w:snapToGrid w:val="0"/>
              <w:spacing w:beforeLines="0" w:afterLines="0"/>
              <w:ind w:left="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3.刮板输送机、转载机、破碎机：</w:t>
            </w:r>
          </w:p>
          <w:p>
            <w:pPr>
              <w:pStyle w:val="15"/>
              <w:adjustRightInd w:val="0"/>
              <w:snapToGrid w:val="0"/>
              <w:spacing w:beforeLines="0" w:afterLines="0"/>
              <w:ind w:left="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（1）刮板输送机、转载机、破碎机完好；</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（2）使用刨煤机采煤、工作面倾角大于12°时，配套的刮板输送机装设防滑、锚固装置；</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（3）刮板输送机机头、机尾固定可靠；</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（4）刮板输送机、转载机、破碎机的减速器与电动机采用软连接或软启动控制，液力偶合器不使用可燃性传动介质（调速型液力偶合器不受此限），使用合格的易熔塞和防爆片；</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（5）刮板输送机安设有能发出停止和启动信号的装置；</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（6）刮板输送机、转载机、破碎机电气保护齐全可靠，电机采用水冷方式时，水量、水压符合要求</w:t>
            </w:r>
          </w:p>
        </w:tc>
        <w:tc>
          <w:tcPr>
            <w:tcW w:w="2342" w:type="dxa"/>
            <w:noWrap w:val="0"/>
            <w:vAlign w:val="center"/>
          </w:tcPr>
          <w:p>
            <w:pPr>
              <w:widowControl/>
              <w:adjustRightInd w:val="0"/>
              <w:snapToGrid w:val="0"/>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eastAsia="zh-CN"/>
              </w:rPr>
              <w:t>新增</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7556" w:hRule="atLeast"/>
          <w:jc w:val="center"/>
        </w:trPr>
        <w:tc>
          <w:tcPr>
            <w:tcW w:w="964" w:type="dxa"/>
            <w:vMerge w:val="continue"/>
            <w:tcBorders>
              <w:left w:val="nil"/>
            </w:tcBorders>
            <w:noWrap w:val="0"/>
            <w:textDirection w:val="tbRlV"/>
            <w:vAlign w:val="center"/>
          </w:tcPr>
          <w:p>
            <w:pPr>
              <w:widowControl/>
              <w:adjustRightInd w:val="0"/>
              <w:snapToGrid w:val="0"/>
              <w:ind w:left="113" w:right="113"/>
              <w:jc w:val="left"/>
              <w:rPr>
                <w:rFonts w:hint="eastAsia" w:asciiTheme="minorEastAsia" w:hAnsiTheme="minorEastAsia" w:eastAsiaTheme="minorEastAsia" w:cstheme="minorEastAsia"/>
                <w:kern w:val="0"/>
                <w:sz w:val="21"/>
                <w:szCs w:val="21"/>
                <w:highlight w:val="none"/>
              </w:rPr>
            </w:pPr>
          </w:p>
        </w:tc>
        <w:tc>
          <w:tcPr>
            <w:tcW w:w="990" w:type="dxa"/>
            <w:vMerge w:val="continue"/>
            <w:noWrap w:val="0"/>
            <w:vAlign w:val="center"/>
          </w:tcPr>
          <w:p>
            <w:pPr>
              <w:widowControl/>
              <w:adjustRightInd w:val="0"/>
              <w:snapToGrid w:val="0"/>
              <w:jc w:val="left"/>
              <w:rPr>
                <w:rFonts w:hint="eastAsia" w:asciiTheme="minorEastAsia" w:hAnsiTheme="minorEastAsia" w:eastAsiaTheme="minorEastAsia" w:cstheme="minorEastAsia"/>
                <w:kern w:val="0"/>
                <w:sz w:val="21"/>
                <w:szCs w:val="21"/>
                <w:highlight w:val="none"/>
              </w:rPr>
            </w:pPr>
          </w:p>
        </w:tc>
        <w:tc>
          <w:tcPr>
            <w:tcW w:w="4902" w:type="dxa"/>
            <w:noWrap w:val="0"/>
            <w:vAlign w:val="center"/>
          </w:tcPr>
          <w:p>
            <w:pPr>
              <w:adjustRightInd w:val="0"/>
              <w:snapToGrid w:val="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w:t>
            </w:r>
            <w:r>
              <w:rPr>
                <w:rFonts w:hint="eastAsia" w:asciiTheme="minorEastAsia" w:hAnsiTheme="minorEastAsia" w:eastAsiaTheme="minorEastAsia" w:cstheme="minorEastAsia"/>
                <w:color w:val="0070C0"/>
                <w:kern w:val="0"/>
                <w:sz w:val="21"/>
                <w:szCs w:val="21"/>
                <w:highlight w:val="none"/>
              </w:rPr>
              <w:t>机架编号管理，</w:t>
            </w:r>
            <w:r>
              <w:rPr>
                <w:rFonts w:hint="eastAsia" w:asciiTheme="minorEastAsia" w:hAnsiTheme="minorEastAsia" w:eastAsiaTheme="minorEastAsia" w:cstheme="minorEastAsia"/>
                <w:kern w:val="0"/>
                <w:sz w:val="21"/>
                <w:szCs w:val="21"/>
                <w:highlight w:val="none"/>
              </w:rPr>
              <w:t>滚筒、托辊齐全且转动灵活；</w:t>
            </w:r>
          </w:p>
          <w:p>
            <w:pPr>
              <w:adjustRightInd w:val="0"/>
              <w:snapToGrid w:val="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2.电气保护齐全可靠；</w:t>
            </w:r>
          </w:p>
          <w:p>
            <w:pPr>
              <w:adjustRightInd w:val="0"/>
              <w:snapToGrid w:val="0"/>
              <w:rPr>
                <w:rFonts w:hint="eastAsia" w:asciiTheme="minorEastAsia" w:hAnsiTheme="minorEastAsia" w:eastAsiaTheme="minorEastAsia" w:cstheme="minorEastAsia"/>
                <w:color w:val="0070C0"/>
                <w:kern w:val="0"/>
                <w:sz w:val="21"/>
                <w:szCs w:val="21"/>
                <w:highlight w:val="none"/>
              </w:rPr>
            </w:pPr>
            <w:r>
              <w:rPr>
                <w:rFonts w:hint="eastAsia" w:asciiTheme="minorEastAsia" w:hAnsiTheme="minorEastAsia" w:eastAsiaTheme="minorEastAsia" w:cstheme="minorEastAsia"/>
                <w:kern w:val="0"/>
                <w:sz w:val="21"/>
                <w:szCs w:val="21"/>
                <w:highlight w:val="none"/>
              </w:rPr>
              <w:t>3.使用阻燃、抗静电胶带；装设防打滑、防堆煤、防跑偏、防撕裂保护装置，以及温度、烟雾监测和自动洒水装置，</w:t>
            </w:r>
            <w:r>
              <w:rPr>
                <w:rFonts w:hint="eastAsia" w:asciiTheme="minorEastAsia" w:hAnsiTheme="minorEastAsia" w:eastAsiaTheme="minorEastAsia" w:cstheme="minorEastAsia"/>
                <w:color w:val="0070C0"/>
                <w:kern w:val="0"/>
                <w:sz w:val="21"/>
                <w:szCs w:val="21"/>
                <w:highlight w:val="none"/>
              </w:rPr>
              <w:t>定期进行保护试验；</w:t>
            </w:r>
          </w:p>
          <w:p>
            <w:pPr>
              <w:adjustRightInd w:val="0"/>
              <w:snapToGrid w:val="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4.上运式带式输送机装设防逆转装置和制动装置，下运式带式输送机装设软制动装置和防超速保护装置；</w:t>
            </w:r>
          </w:p>
          <w:p>
            <w:pPr>
              <w:adjustRightInd w:val="0"/>
              <w:snapToGrid w:val="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5.减速器与电动机采用软连接或软启动控制，液力偶合器不使用可燃性传动介质（调速型液力偶合器不受此限），使用合格的易熔塞和防爆片；</w:t>
            </w:r>
          </w:p>
          <w:p>
            <w:pPr>
              <w:adjustRightInd w:val="0"/>
              <w:snapToGrid w:val="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6.连续运输系统有连锁、闭锁控制装置；机头、机尾及全线安设通信和信号装置，间距不超过200m，沿线安设有效的急停装置；</w:t>
            </w:r>
          </w:p>
          <w:p>
            <w:pPr>
              <w:widowControl/>
              <w:adjustRightInd w:val="0"/>
              <w:snapToGrid w:val="0"/>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rPr>
              <w:t>7.机头、机尾固定牢固，机头有防护栏，机尾使用挡煤板且有防护罩；在大于16°的斜巷中带式输送机设置防护网，并采取防止物料下滑、滚落等安全措施</w:t>
            </w:r>
          </w:p>
        </w:tc>
        <w:tc>
          <w:tcPr>
            <w:tcW w:w="4740" w:type="dxa"/>
            <w:noWrap w:val="0"/>
            <w:vAlign w:val="center"/>
          </w:tcPr>
          <w:p>
            <w:pPr>
              <w:adjustRightInd w:val="0"/>
              <w:snapToGrid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4.带式输送机：</w:t>
            </w:r>
          </w:p>
          <w:p>
            <w:pPr>
              <w:adjustRightInd w:val="0"/>
              <w:snapToGrid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（1）带式输送机完好，机架、托辊齐全完好，胶带不跑偏；</w:t>
            </w:r>
          </w:p>
          <w:p>
            <w:pPr>
              <w:adjustRightInd w:val="0"/>
              <w:snapToGrid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（2）带式输送机电气保护齐全可靠；</w:t>
            </w:r>
          </w:p>
          <w:p>
            <w:pPr>
              <w:adjustRightInd w:val="0"/>
              <w:snapToGrid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（3）带式输送机的减速器与电动机采用软连接或软启动控制，液力偶合器不使用可燃性传动介质（调速型液力偶合器不受此限），并使用合格的易熔塞和防爆片；</w:t>
            </w:r>
          </w:p>
          <w:p>
            <w:pPr>
              <w:adjustRightInd w:val="0"/>
              <w:snapToGrid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（4）使用阻燃、抗静电胶带，有防打滑、防堆煤、防跑偏、防撕裂保护装置，有温度、烟雾监测装置，有自动洒水装置；</w:t>
            </w:r>
          </w:p>
          <w:p>
            <w:pPr>
              <w:adjustRightInd w:val="0"/>
              <w:snapToGrid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（5）带式输送机机头、机尾固定牢固，机头有防护栏，有消防设施，机尾使用挡煤板，有防护罩；在大于16°的斜巷中带式输送机设置防护网，并采取防止物料下滑、滚落等安全措施；</w:t>
            </w:r>
          </w:p>
          <w:p>
            <w:pPr>
              <w:adjustRightInd w:val="0"/>
              <w:snapToGrid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（6）连续运输系统有连锁、闭锁控制装置，机头、机尾及全线安设通信和信号装置，安设间距不超过200m；</w:t>
            </w:r>
          </w:p>
          <w:p>
            <w:pPr>
              <w:adjustRightInd w:val="0"/>
              <w:snapToGrid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（7）上运式带式输送机装设防逆转装置和制动装置，下运式带式输送机装设软制动装置和防超速保护装置；</w:t>
            </w:r>
          </w:p>
          <w:p>
            <w:pPr>
              <w:adjustRightInd w:val="0"/>
              <w:snapToGrid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（8）带式输送机安设沿线有效的急停装置；</w:t>
            </w:r>
          </w:p>
          <w:p>
            <w:pPr>
              <w:adjustRightInd w:val="0"/>
              <w:snapToGrid w:val="0"/>
              <w:rPr>
                <w:rFonts w:hint="eastAsia" w:asciiTheme="minorEastAsia" w:hAnsiTheme="minorEastAsia" w:eastAsiaTheme="minorEastAsia" w:cstheme="minorEastAsia"/>
                <w:w w:val="85"/>
                <w:sz w:val="21"/>
                <w:szCs w:val="21"/>
                <w:highlight w:val="none"/>
              </w:rPr>
            </w:pPr>
            <w:r>
              <w:rPr>
                <w:rFonts w:hint="eastAsia" w:asciiTheme="minorEastAsia" w:hAnsiTheme="minorEastAsia" w:eastAsiaTheme="minorEastAsia" w:cstheme="minorEastAsia"/>
                <w:sz w:val="21"/>
                <w:szCs w:val="21"/>
                <w:highlight w:val="none"/>
              </w:rPr>
              <w:t>（9）带式输送机系统宜采用无人值守集中综合智能控制方式</w:t>
            </w:r>
          </w:p>
        </w:tc>
        <w:tc>
          <w:tcPr>
            <w:tcW w:w="2342" w:type="dxa"/>
            <w:noWrap w:val="0"/>
            <w:vAlign w:val="center"/>
          </w:tcPr>
          <w:p>
            <w:pPr>
              <w:widowControl/>
              <w:adjustRightInd w:val="0"/>
              <w:snapToGrid w:val="0"/>
              <w:jc w:val="center"/>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eastAsia="zh-CN"/>
              </w:rPr>
              <w:t>新增</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870" w:hRule="atLeast"/>
          <w:jc w:val="center"/>
        </w:trPr>
        <w:tc>
          <w:tcPr>
            <w:tcW w:w="964" w:type="dxa"/>
            <w:vMerge w:val="continue"/>
            <w:tcBorders>
              <w:left w:val="nil"/>
            </w:tcBorders>
            <w:noWrap w:val="0"/>
            <w:textDirection w:val="tbRlV"/>
            <w:vAlign w:val="center"/>
          </w:tcPr>
          <w:p>
            <w:pPr>
              <w:widowControl/>
              <w:adjustRightInd w:val="0"/>
              <w:snapToGrid w:val="0"/>
              <w:ind w:left="113" w:right="113"/>
              <w:jc w:val="left"/>
              <w:rPr>
                <w:rFonts w:hint="eastAsia" w:asciiTheme="minorEastAsia" w:hAnsiTheme="minorEastAsia" w:eastAsiaTheme="minorEastAsia" w:cstheme="minorEastAsia"/>
                <w:b/>
                <w:kern w:val="0"/>
                <w:sz w:val="21"/>
                <w:szCs w:val="21"/>
                <w:highlight w:val="none"/>
              </w:rPr>
            </w:pPr>
          </w:p>
        </w:tc>
        <w:tc>
          <w:tcPr>
            <w:tcW w:w="990" w:type="dxa"/>
            <w:vMerge w:val="continue"/>
            <w:noWrap w:val="0"/>
            <w:vAlign w:val="center"/>
          </w:tcPr>
          <w:p>
            <w:pPr>
              <w:widowControl/>
              <w:adjustRightInd w:val="0"/>
              <w:snapToGrid w:val="0"/>
              <w:jc w:val="left"/>
              <w:rPr>
                <w:rFonts w:hint="eastAsia" w:asciiTheme="minorEastAsia" w:hAnsiTheme="minorEastAsia" w:eastAsiaTheme="minorEastAsia" w:cstheme="minorEastAsia"/>
                <w:b/>
                <w:kern w:val="0"/>
                <w:sz w:val="21"/>
                <w:szCs w:val="21"/>
                <w:highlight w:val="none"/>
              </w:rPr>
            </w:pPr>
          </w:p>
        </w:tc>
        <w:tc>
          <w:tcPr>
            <w:tcW w:w="4902" w:type="dxa"/>
            <w:noWrap w:val="0"/>
            <w:vAlign w:val="center"/>
          </w:tcPr>
          <w:p>
            <w:pPr>
              <w:adjustRightInd w:val="0"/>
              <w:snapToGrid w:val="0"/>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rPr>
              <w:t>设备完好，制动可靠，安全设施有效，声光信号齐全；倾斜巷道阻（挡）车装置有效；</w:t>
            </w:r>
            <w:r>
              <w:rPr>
                <w:rFonts w:hint="eastAsia" w:asciiTheme="minorEastAsia" w:hAnsiTheme="minorEastAsia" w:eastAsiaTheme="minorEastAsia" w:cstheme="minorEastAsia"/>
                <w:color w:val="0070C0"/>
                <w:kern w:val="0"/>
                <w:sz w:val="21"/>
                <w:szCs w:val="21"/>
                <w:highlight w:val="none"/>
              </w:rPr>
              <w:t>运输巷与运输设备最突出部分的最小间距、</w:t>
            </w:r>
            <w:r>
              <w:rPr>
                <w:rFonts w:hint="eastAsia" w:asciiTheme="minorEastAsia" w:hAnsiTheme="minorEastAsia" w:eastAsiaTheme="minorEastAsia" w:cstheme="minorEastAsia"/>
                <w:kern w:val="0"/>
                <w:sz w:val="21"/>
                <w:szCs w:val="21"/>
                <w:highlight w:val="none"/>
              </w:rPr>
              <w:t>钢丝绳及其使用符合《煤矿安全规程》要求</w:t>
            </w:r>
          </w:p>
        </w:tc>
        <w:tc>
          <w:tcPr>
            <w:tcW w:w="4740" w:type="dxa"/>
            <w:noWrap w:val="0"/>
            <w:vAlign w:val="center"/>
          </w:tcPr>
          <w:p>
            <w:pPr>
              <w:adjustRightInd w:val="0"/>
              <w:snapToGrid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5.辅助运输设备完好，制动可靠，安设符合要求，声光信号齐全；轨道铺设符合要求；钢丝绳及其使用符合《煤矿安全规程》要求，检验合格</w:t>
            </w:r>
          </w:p>
        </w:tc>
        <w:tc>
          <w:tcPr>
            <w:tcW w:w="2342" w:type="dxa"/>
            <w:noWrap w:val="0"/>
            <w:vAlign w:val="center"/>
          </w:tcPr>
          <w:p>
            <w:pPr>
              <w:kinsoku w:val="0"/>
              <w:overflowPunct w:val="0"/>
              <w:autoSpaceDE w:val="0"/>
              <w:autoSpaceDN w:val="0"/>
              <w:adjustRightInd w:val="0"/>
              <w:snapToGrid w:val="0"/>
              <w:jc w:val="center"/>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eastAsia="zh-CN"/>
              </w:rPr>
              <w:t>新增</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105" w:hRule="atLeast"/>
          <w:jc w:val="center"/>
        </w:trPr>
        <w:tc>
          <w:tcPr>
            <w:tcW w:w="964" w:type="dxa"/>
            <w:vMerge w:val="continue"/>
            <w:tcBorders>
              <w:left w:val="nil"/>
            </w:tcBorders>
            <w:noWrap w:val="0"/>
            <w:textDirection w:val="tbRlV"/>
            <w:vAlign w:val="center"/>
          </w:tcPr>
          <w:p>
            <w:pPr>
              <w:widowControl/>
              <w:adjustRightInd w:val="0"/>
              <w:snapToGrid w:val="0"/>
              <w:ind w:left="113" w:right="113"/>
              <w:jc w:val="left"/>
              <w:rPr>
                <w:rFonts w:hint="eastAsia" w:asciiTheme="minorEastAsia" w:hAnsiTheme="minorEastAsia" w:eastAsiaTheme="minorEastAsia" w:cstheme="minorEastAsia"/>
                <w:b/>
                <w:kern w:val="0"/>
                <w:sz w:val="21"/>
                <w:szCs w:val="21"/>
                <w:highlight w:val="none"/>
              </w:rPr>
            </w:pPr>
          </w:p>
        </w:tc>
        <w:tc>
          <w:tcPr>
            <w:tcW w:w="990" w:type="dxa"/>
            <w:vMerge w:val="continue"/>
            <w:noWrap w:val="0"/>
            <w:vAlign w:val="center"/>
          </w:tcPr>
          <w:p>
            <w:pPr>
              <w:widowControl/>
              <w:adjustRightInd w:val="0"/>
              <w:snapToGrid w:val="0"/>
              <w:jc w:val="left"/>
              <w:rPr>
                <w:rFonts w:hint="eastAsia" w:asciiTheme="minorEastAsia" w:hAnsiTheme="minorEastAsia" w:eastAsiaTheme="minorEastAsia" w:cstheme="minorEastAsia"/>
                <w:b/>
                <w:kern w:val="0"/>
                <w:sz w:val="21"/>
                <w:szCs w:val="21"/>
                <w:highlight w:val="none"/>
              </w:rPr>
            </w:pPr>
          </w:p>
        </w:tc>
        <w:tc>
          <w:tcPr>
            <w:tcW w:w="4902" w:type="dxa"/>
            <w:noWrap w:val="0"/>
            <w:vAlign w:val="center"/>
          </w:tcPr>
          <w:p>
            <w:pPr>
              <w:adjustRightInd w:val="0"/>
              <w:snapToGrid w:val="0"/>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rPr>
              <w:t>通信系统畅</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通，工作面每隔15m、变电站、乳化液泵站、各转载点安设语音通信装置</w:t>
            </w:r>
          </w:p>
        </w:tc>
        <w:tc>
          <w:tcPr>
            <w:tcW w:w="4740" w:type="dxa"/>
            <w:noWrap w:val="0"/>
            <w:vAlign w:val="center"/>
          </w:tcPr>
          <w:p>
            <w:pPr>
              <w:adjustRightInd w:val="0"/>
              <w:snapToGrid w:val="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rPr>
              <w:t>6.通信系统畅通可靠，工作面每隔15m及变电站、乳化液泵站、各转载点有语音通信装置；</w:t>
            </w:r>
            <w:r>
              <w:rPr>
                <w:rFonts w:hint="eastAsia" w:asciiTheme="minorEastAsia" w:hAnsiTheme="minorEastAsia" w:eastAsiaTheme="minorEastAsia" w:cstheme="minorEastAsia"/>
                <w:color w:val="FF0000"/>
                <w:sz w:val="21"/>
                <w:szCs w:val="21"/>
                <w:highlight w:val="none"/>
              </w:rPr>
              <w:t>监测、监控设备运行正常，安设位置符合规定</w:t>
            </w:r>
          </w:p>
        </w:tc>
        <w:tc>
          <w:tcPr>
            <w:tcW w:w="2342" w:type="dxa"/>
            <w:noWrap w:val="0"/>
            <w:vAlign w:val="center"/>
          </w:tcPr>
          <w:p>
            <w:pPr>
              <w:widowControl/>
              <w:adjustRightInd w:val="0"/>
              <w:snapToGrid w:val="0"/>
              <w:jc w:val="center"/>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eastAsia="zh-CN"/>
              </w:rPr>
              <w:t>删除</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373" w:hRule="atLeast"/>
          <w:jc w:val="center"/>
        </w:trPr>
        <w:tc>
          <w:tcPr>
            <w:tcW w:w="964" w:type="dxa"/>
            <w:vMerge w:val="continue"/>
            <w:tcBorders>
              <w:left w:val="nil"/>
            </w:tcBorders>
            <w:noWrap w:val="0"/>
            <w:textDirection w:val="tbRlV"/>
            <w:vAlign w:val="center"/>
          </w:tcPr>
          <w:p>
            <w:pPr>
              <w:widowControl/>
              <w:adjustRightInd w:val="0"/>
              <w:snapToGrid w:val="0"/>
              <w:ind w:left="113" w:right="113"/>
              <w:jc w:val="left"/>
              <w:rPr>
                <w:rFonts w:hint="eastAsia" w:asciiTheme="minorEastAsia" w:hAnsiTheme="minorEastAsia" w:eastAsiaTheme="minorEastAsia" w:cstheme="minorEastAsia"/>
                <w:b/>
                <w:kern w:val="0"/>
                <w:sz w:val="21"/>
                <w:szCs w:val="21"/>
                <w:highlight w:val="none"/>
              </w:rPr>
            </w:pPr>
          </w:p>
        </w:tc>
        <w:tc>
          <w:tcPr>
            <w:tcW w:w="990" w:type="dxa"/>
            <w:vMerge w:val="continue"/>
            <w:noWrap w:val="0"/>
            <w:vAlign w:val="center"/>
          </w:tcPr>
          <w:p>
            <w:pPr>
              <w:widowControl/>
              <w:adjustRightInd w:val="0"/>
              <w:snapToGrid w:val="0"/>
              <w:jc w:val="left"/>
              <w:rPr>
                <w:rFonts w:hint="eastAsia" w:asciiTheme="minorEastAsia" w:hAnsiTheme="minorEastAsia" w:eastAsiaTheme="minorEastAsia" w:cstheme="minorEastAsia"/>
                <w:b/>
                <w:kern w:val="0"/>
                <w:sz w:val="21"/>
                <w:szCs w:val="21"/>
                <w:highlight w:val="none"/>
              </w:rPr>
            </w:pPr>
          </w:p>
        </w:tc>
        <w:tc>
          <w:tcPr>
            <w:tcW w:w="4902" w:type="dxa"/>
            <w:noWrap w:val="0"/>
            <w:vAlign w:val="center"/>
          </w:tcPr>
          <w:p>
            <w:pPr>
              <w:adjustRightInd w:val="0"/>
              <w:snapToGrid w:val="0"/>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rPr>
              <w:t>小型电器排列整齐，干净整洁，性能完好；移动变电站完好；接地保护规范有效；开关上架，电气设备不被淋水；移动电缆有吊挂、拖曳装置</w:t>
            </w:r>
          </w:p>
        </w:tc>
        <w:tc>
          <w:tcPr>
            <w:tcW w:w="4740" w:type="dxa"/>
            <w:noWrap w:val="0"/>
            <w:vAlign w:val="center"/>
          </w:tcPr>
          <w:p>
            <w:pPr>
              <w:adjustRightInd w:val="0"/>
              <w:snapToGrid w:val="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rPr>
              <w:t>7.小型电器排列整齐，干净整洁，性能完好；机电设备表面干净，无浮煤积尘；移动变电站完好；接地线安设规范；开关上架，电气设备不被淋水；移动电缆有吊挂、拖曳装置</w:t>
            </w:r>
          </w:p>
        </w:tc>
        <w:tc>
          <w:tcPr>
            <w:tcW w:w="2342" w:type="dxa"/>
            <w:noWrap w:val="0"/>
            <w:vAlign w:val="center"/>
          </w:tcPr>
          <w:p>
            <w:pPr>
              <w:adjustRightInd w:val="0"/>
              <w:snapToGrid w:val="0"/>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837" w:hRule="atLeast"/>
          <w:jc w:val="center"/>
        </w:trPr>
        <w:tc>
          <w:tcPr>
            <w:tcW w:w="964" w:type="dxa"/>
            <w:vMerge w:val="restart"/>
            <w:tcBorders>
              <w:left w:val="nil"/>
            </w:tcBorders>
            <w:noWrap w:val="0"/>
            <w:textDirection w:val="tbRlV"/>
            <w:vAlign w:val="center"/>
          </w:tcPr>
          <w:p>
            <w:pPr>
              <w:pStyle w:val="13"/>
              <w:adjustRightInd w:val="0"/>
              <w:snapToGrid w:val="0"/>
              <w:ind w:left="113" w:right="113" w:firstLine="0" w:firstLineChars="0"/>
              <w:jc w:val="center"/>
              <w:rPr>
                <w:rFonts w:hint="eastAsia" w:asciiTheme="minorEastAsia" w:hAnsiTheme="minorEastAsia" w:eastAsiaTheme="minorEastAsia" w:cstheme="minorEastAsia"/>
                <w:spacing w:val="40"/>
                <w:kern w:val="2"/>
                <w:sz w:val="21"/>
                <w:szCs w:val="21"/>
                <w:highlight w:val="none"/>
              </w:rPr>
            </w:pPr>
            <w:r>
              <w:rPr>
                <w:rFonts w:hint="eastAsia" w:asciiTheme="minorEastAsia" w:hAnsiTheme="minorEastAsia" w:eastAsiaTheme="minorEastAsia" w:cstheme="minorEastAsia"/>
                <w:spacing w:val="40"/>
                <w:sz w:val="21"/>
                <w:szCs w:val="21"/>
                <w:highlight w:val="none"/>
              </w:rPr>
              <w:t xml:space="preserve"> 四、职工素质及岗位规范(5分)</w:t>
            </w:r>
          </w:p>
        </w:tc>
        <w:tc>
          <w:tcPr>
            <w:tcW w:w="990" w:type="dxa"/>
            <w:noWrap w:val="0"/>
            <w:vAlign w:val="center"/>
          </w:tcPr>
          <w:p>
            <w:pPr>
              <w:adjustRightInd w:val="0"/>
              <w:snapToGrid w:val="0"/>
              <w:jc w:val="center"/>
              <w:rPr>
                <w:rFonts w:hint="eastAsia" w:asciiTheme="minorEastAsia" w:hAnsiTheme="minorEastAsia" w:eastAsiaTheme="minorEastAsia" w:cstheme="minorEastAsia"/>
                <w:color w:val="FF0000"/>
                <w:kern w:val="0"/>
                <w:sz w:val="21"/>
                <w:szCs w:val="21"/>
                <w:highlight w:val="none"/>
              </w:rPr>
            </w:pPr>
            <w:r>
              <w:rPr>
                <w:rFonts w:hint="eastAsia" w:asciiTheme="minorEastAsia" w:hAnsiTheme="minorEastAsia" w:eastAsiaTheme="minorEastAsia" w:cstheme="minorEastAsia"/>
                <w:color w:val="FF0000"/>
                <w:kern w:val="0"/>
                <w:sz w:val="21"/>
                <w:szCs w:val="21"/>
                <w:highlight w:val="none"/>
              </w:rPr>
              <w:t>管理技术人员</w:t>
            </w:r>
          </w:p>
        </w:tc>
        <w:tc>
          <w:tcPr>
            <w:tcW w:w="4902" w:type="dxa"/>
            <w:noWrap w:val="0"/>
            <w:vAlign w:val="center"/>
          </w:tcPr>
          <w:p>
            <w:pPr>
              <w:adjustRightInd w:val="0"/>
              <w:snapToGrid w:val="0"/>
              <w:rPr>
                <w:rFonts w:hint="eastAsia" w:asciiTheme="minorEastAsia" w:hAnsiTheme="minorEastAsia" w:eastAsiaTheme="minorEastAsia" w:cstheme="minorEastAsia"/>
                <w:kern w:val="2"/>
                <w:sz w:val="21"/>
                <w:szCs w:val="21"/>
                <w:highlight w:val="none"/>
                <w:lang w:val="en-US" w:eastAsia="zh-CN" w:bidi="ar-SA"/>
              </w:rPr>
            </w:pPr>
          </w:p>
        </w:tc>
        <w:tc>
          <w:tcPr>
            <w:tcW w:w="4740" w:type="dxa"/>
            <w:noWrap w:val="0"/>
            <w:vAlign w:val="center"/>
          </w:tcPr>
          <w:p>
            <w:pPr>
              <w:adjustRightInd w:val="0"/>
              <w:snapToGrid w:val="0"/>
              <w:jc w:val="left"/>
              <w:rPr>
                <w:rFonts w:hint="eastAsia" w:asciiTheme="minorEastAsia" w:hAnsiTheme="minorEastAsia" w:eastAsiaTheme="minorEastAsia" w:cstheme="minorEastAsia"/>
                <w:color w:val="FF0000"/>
                <w:sz w:val="21"/>
                <w:szCs w:val="21"/>
                <w:highlight w:val="none"/>
              </w:rPr>
            </w:pPr>
            <w:r>
              <w:rPr>
                <w:rFonts w:hint="eastAsia" w:asciiTheme="minorEastAsia" w:hAnsiTheme="minorEastAsia" w:eastAsiaTheme="minorEastAsia" w:cstheme="minorEastAsia"/>
                <w:color w:val="FF0000"/>
                <w:kern w:val="0"/>
                <w:sz w:val="21"/>
                <w:szCs w:val="21"/>
                <w:highlight w:val="none"/>
              </w:rPr>
              <w:t>1.区（队）管理和技术人员掌握相关的岗位职责、管理制度、技术措施</w:t>
            </w:r>
          </w:p>
        </w:tc>
        <w:tc>
          <w:tcPr>
            <w:tcW w:w="2342" w:type="dxa"/>
            <w:noWrap w:val="0"/>
            <w:vAlign w:val="center"/>
          </w:tcPr>
          <w:p>
            <w:pPr>
              <w:widowControl/>
              <w:adjustRightInd w:val="0"/>
              <w:snapToGrid w:val="0"/>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eastAsia="zh-CN"/>
              </w:rPr>
              <w:t>删除</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643" w:hRule="atLeast"/>
          <w:jc w:val="center"/>
        </w:trPr>
        <w:tc>
          <w:tcPr>
            <w:tcW w:w="964" w:type="dxa"/>
            <w:vMerge w:val="continue"/>
            <w:tcBorders>
              <w:left w:val="nil"/>
            </w:tcBorders>
            <w:noWrap w:val="0"/>
            <w:textDirection w:val="tbRlV"/>
            <w:vAlign w:val="center"/>
          </w:tcPr>
          <w:p>
            <w:pPr>
              <w:pStyle w:val="13"/>
              <w:adjustRightInd w:val="0"/>
              <w:snapToGrid w:val="0"/>
              <w:ind w:left="113" w:right="113" w:firstLine="0" w:firstLineChars="0"/>
              <w:jc w:val="center"/>
              <w:rPr>
                <w:rFonts w:hint="eastAsia" w:asciiTheme="minorEastAsia" w:hAnsiTheme="minorEastAsia" w:eastAsiaTheme="minorEastAsia" w:cstheme="minorEastAsia"/>
                <w:b/>
                <w:spacing w:val="40"/>
                <w:kern w:val="2"/>
                <w:sz w:val="21"/>
                <w:szCs w:val="21"/>
                <w:highlight w:val="none"/>
              </w:rPr>
            </w:pPr>
          </w:p>
        </w:tc>
        <w:tc>
          <w:tcPr>
            <w:tcW w:w="990" w:type="dxa"/>
            <w:noWrap w:val="0"/>
            <w:vAlign w:val="center"/>
          </w:tcPr>
          <w:p>
            <w:pPr>
              <w:adjustRightInd w:val="0"/>
              <w:snapToGrid w:val="0"/>
              <w:jc w:val="center"/>
              <w:rPr>
                <w:rFonts w:hint="eastAsia" w:asciiTheme="minorEastAsia" w:hAnsiTheme="minorEastAsia" w:eastAsiaTheme="minorEastAsia" w:cstheme="minorEastAsia"/>
                <w:color w:val="FF0000"/>
                <w:kern w:val="0"/>
                <w:sz w:val="21"/>
                <w:szCs w:val="21"/>
                <w:highlight w:val="none"/>
              </w:rPr>
            </w:pPr>
            <w:r>
              <w:rPr>
                <w:rFonts w:hint="eastAsia" w:asciiTheme="minorEastAsia" w:hAnsiTheme="minorEastAsia" w:eastAsiaTheme="minorEastAsia" w:cstheme="minorEastAsia"/>
                <w:color w:val="FF0000"/>
                <w:kern w:val="0"/>
                <w:sz w:val="21"/>
                <w:szCs w:val="21"/>
                <w:highlight w:val="none"/>
              </w:rPr>
              <w:t>作业人员</w:t>
            </w:r>
          </w:p>
        </w:tc>
        <w:tc>
          <w:tcPr>
            <w:tcW w:w="4902" w:type="dxa"/>
            <w:noWrap w:val="0"/>
            <w:vAlign w:val="center"/>
          </w:tcPr>
          <w:p>
            <w:pPr>
              <w:adjustRightInd w:val="0"/>
              <w:snapToGrid w:val="0"/>
              <w:rPr>
                <w:rFonts w:hint="eastAsia" w:asciiTheme="minorEastAsia" w:hAnsiTheme="minorEastAsia" w:eastAsiaTheme="minorEastAsia" w:cstheme="minorEastAsia"/>
                <w:kern w:val="2"/>
                <w:sz w:val="21"/>
                <w:szCs w:val="21"/>
                <w:highlight w:val="none"/>
                <w:lang w:val="en-US" w:eastAsia="zh-CN" w:bidi="ar-SA"/>
              </w:rPr>
            </w:pPr>
          </w:p>
        </w:tc>
        <w:tc>
          <w:tcPr>
            <w:tcW w:w="4740" w:type="dxa"/>
            <w:noWrap w:val="0"/>
            <w:vAlign w:val="center"/>
          </w:tcPr>
          <w:p>
            <w:pPr>
              <w:adjustRightInd w:val="0"/>
              <w:snapToGrid w:val="0"/>
              <w:jc w:val="left"/>
              <w:rPr>
                <w:rFonts w:hint="eastAsia" w:asciiTheme="minorEastAsia" w:hAnsiTheme="minorEastAsia" w:eastAsiaTheme="minorEastAsia" w:cstheme="minorEastAsia"/>
                <w:color w:val="FF0000"/>
                <w:sz w:val="21"/>
                <w:szCs w:val="21"/>
                <w:highlight w:val="none"/>
              </w:rPr>
            </w:pPr>
            <w:r>
              <w:rPr>
                <w:rFonts w:hint="eastAsia" w:asciiTheme="minorEastAsia" w:hAnsiTheme="minorEastAsia" w:eastAsiaTheme="minorEastAsia" w:cstheme="minorEastAsia"/>
                <w:color w:val="FF0000"/>
                <w:kern w:val="0"/>
                <w:sz w:val="21"/>
                <w:szCs w:val="21"/>
                <w:highlight w:val="none"/>
              </w:rPr>
              <w:t>2.班组长及现场作业人员严格执行本岗位安全生产责任制；掌握本岗位相应的操作规程、安全措施；规范操作，无“三违”行为；作业前进行岗位安全风险辨识及安全确认；</w:t>
            </w:r>
            <w:r>
              <w:rPr>
                <w:rFonts w:hint="eastAsia" w:asciiTheme="minorEastAsia" w:hAnsiTheme="minorEastAsia" w:eastAsiaTheme="minorEastAsia" w:cstheme="minorEastAsia"/>
                <w:color w:val="FF0000"/>
                <w:sz w:val="21"/>
                <w:szCs w:val="21"/>
                <w:highlight w:val="none"/>
              </w:rPr>
              <w:t>零星工程施工有针对性措施、有管理人员跟班</w:t>
            </w:r>
          </w:p>
        </w:tc>
        <w:tc>
          <w:tcPr>
            <w:tcW w:w="2342" w:type="dxa"/>
            <w:noWrap w:val="0"/>
            <w:vAlign w:val="center"/>
          </w:tcPr>
          <w:p>
            <w:pPr>
              <w:adjustRightInd w:val="0"/>
              <w:snapToGrid w:val="0"/>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eastAsia="zh-CN"/>
              </w:rPr>
              <w:t>删除</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450" w:hRule="atLeast"/>
          <w:jc w:val="center"/>
        </w:trPr>
        <w:tc>
          <w:tcPr>
            <w:tcW w:w="964" w:type="dxa"/>
            <w:vMerge w:val="restart"/>
            <w:tcBorders>
              <w:left w:val="nil"/>
            </w:tcBorders>
            <w:noWrap w:val="0"/>
            <w:textDirection w:val="tbRlV"/>
            <w:vAlign w:val="center"/>
          </w:tcPr>
          <w:p>
            <w:pPr>
              <w:pStyle w:val="13"/>
              <w:adjustRightInd w:val="0"/>
              <w:snapToGrid w:val="0"/>
              <w:ind w:left="113" w:right="113" w:firstLine="0" w:firstLineChars="0"/>
              <w:jc w:val="center"/>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pacing w:val="40"/>
                <w:sz w:val="21"/>
                <w:szCs w:val="21"/>
                <w:highlight w:val="none"/>
              </w:rPr>
              <w:t>五、文明生产（10分）</w:t>
            </w:r>
          </w:p>
        </w:tc>
        <w:tc>
          <w:tcPr>
            <w:tcW w:w="990" w:type="dxa"/>
            <w:vMerge w:val="restart"/>
            <w:noWrap w:val="0"/>
            <w:vAlign w:val="center"/>
          </w:tcPr>
          <w:p>
            <w:pPr>
              <w:adjustRightInd w:val="0"/>
              <w:snapToGrid w:val="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面外环境</w:t>
            </w:r>
          </w:p>
        </w:tc>
        <w:tc>
          <w:tcPr>
            <w:tcW w:w="4902" w:type="dxa"/>
            <w:noWrap w:val="0"/>
            <w:vAlign w:val="center"/>
          </w:tcPr>
          <w:p>
            <w:pPr>
              <w:adjustRightInd w:val="0"/>
              <w:snapToGrid w:val="0"/>
              <w:rPr>
                <w:rFonts w:hint="eastAsia" w:asciiTheme="minorEastAsia" w:hAnsiTheme="minorEastAsia" w:eastAsiaTheme="minorEastAsia" w:cstheme="minorEastAsia"/>
                <w:color w:val="0070C0"/>
                <w:kern w:val="0"/>
                <w:sz w:val="21"/>
                <w:szCs w:val="21"/>
                <w:highlight w:val="none"/>
              </w:rPr>
            </w:pPr>
            <w:r>
              <w:rPr>
                <w:rFonts w:hint="eastAsia" w:asciiTheme="minorEastAsia" w:hAnsiTheme="minorEastAsia" w:eastAsiaTheme="minorEastAsia" w:cstheme="minorEastAsia"/>
                <w:color w:val="0070C0"/>
                <w:kern w:val="0"/>
                <w:sz w:val="21"/>
                <w:szCs w:val="21"/>
                <w:highlight w:val="none"/>
              </w:rPr>
              <w:t>1.材料、设备有标志牌；</w:t>
            </w:r>
          </w:p>
          <w:p>
            <w:pPr>
              <w:adjustRightInd w:val="0"/>
              <w:snapToGrid w:val="0"/>
              <w:rPr>
                <w:rFonts w:hint="eastAsia" w:asciiTheme="minorEastAsia" w:hAnsiTheme="minorEastAsia" w:eastAsiaTheme="minorEastAsia" w:cstheme="minorEastAsia"/>
                <w:color w:val="0070C0"/>
                <w:kern w:val="0"/>
                <w:sz w:val="21"/>
                <w:szCs w:val="21"/>
                <w:highlight w:val="none"/>
              </w:rPr>
            </w:pPr>
            <w:r>
              <w:rPr>
                <w:rFonts w:hint="eastAsia" w:asciiTheme="minorEastAsia" w:hAnsiTheme="minorEastAsia" w:eastAsiaTheme="minorEastAsia" w:cstheme="minorEastAsia"/>
                <w:color w:val="0070C0"/>
                <w:kern w:val="0"/>
                <w:sz w:val="21"/>
                <w:szCs w:val="21"/>
                <w:highlight w:val="none"/>
              </w:rPr>
              <w:t>2.工作面通风系统图、工作面设备布置图、避灾路线图、正规作业循环图表图牌板齐全、清晰；</w:t>
            </w:r>
          </w:p>
          <w:p>
            <w:pPr>
              <w:adjustRightInd w:val="0"/>
              <w:snapToGrid w:val="0"/>
              <w:jc w:val="left"/>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rPr>
              <w:t>3.巷道至少每100m设置醒目的里程标志</w:t>
            </w:r>
          </w:p>
        </w:tc>
        <w:tc>
          <w:tcPr>
            <w:tcW w:w="4740" w:type="dxa"/>
            <w:noWrap w:val="0"/>
            <w:vAlign w:val="center"/>
          </w:tcPr>
          <w:p>
            <w:pPr>
              <w:adjustRightInd w:val="0"/>
              <w:snapToGrid w:val="0"/>
              <w:jc w:val="left"/>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rPr>
              <w:t>1.电缆、管线吊挂整齐，泵站、休息地点、油脂库、带式输送机机头和机尾等场所有</w:t>
            </w:r>
            <w:r>
              <w:rPr>
                <w:rFonts w:hint="eastAsia" w:asciiTheme="minorEastAsia" w:hAnsiTheme="minorEastAsia" w:eastAsiaTheme="minorEastAsia" w:cstheme="minorEastAsia"/>
                <w:spacing w:val="-4"/>
                <w:sz w:val="21"/>
                <w:szCs w:val="21"/>
                <w:highlight w:val="none"/>
              </w:rPr>
              <w:t>照明；图牌板（工作面布置图、设备布置图、通风系统图、监测通信系统图、供电系统图、工作面支护示意图、</w:t>
            </w:r>
            <w:r>
              <w:rPr>
                <w:rFonts w:hint="eastAsia" w:asciiTheme="minorEastAsia" w:hAnsiTheme="minorEastAsia" w:eastAsiaTheme="minorEastAsia" w:cstheme="minorEastAsia"/>
                <w:sz w:val="21"/>
                <w:szCs w:val="21"/>
                <w:highlight w:val="none"/>
              </w:rPr>
              <w:t>正规作业循环图表、避灾路线图，炮采工作面增设的炮眼布置图、爆破说明书等）齐全，清晰整洁；巷道每隔100m设置醒目的里程标志</w:t>
            </w:r>
          </w:p>
        </w:tc>
        <w:tc>
          <w:tcPr>
            <w:tcW w:w="2342" w:type="dxa"/>
            <w:noWrap w:val="0"/>
            <w:vAlign w:val="center"/>
          </w:tcPr>
          <w:p>
            <w:pPr>
              <w:adjustRightInd w:val="0"/>
              <w:snapToGrid w:val="0"/>
              <w:jc w:val="center"/>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eastAsia="zh-CN"/>
              </w:rPr>
              <w:t>新增</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105" w:hRule="atLeast"/>
          <w:jc w:val="center"/>
        </w:trPr>
        <w:tc>
          <w:tcPr>
            <w:tcW w:w="964" w:type="dxa"/>
            <w:vMerge w:val="continue"/>
            <w:tcBorders>
              <w:left w:val="nil"/>
            </w:tcBorders>
            <w:noWrap w:val="0"/>
            <w:textDirection w:val="tbRlV"/>
            <w:vAlign w:val="center"/>
          </w:tcPr>
          <w:p>
            <w:pPr>
              <w:adjustRightInd w:val="0"/>
              <w:snapToGrid w:val="0"/>
              <w:ind w:left="113" w:right="113"/>
              <w:jc w:val="center"/>
              <w:rPr>
                <w:rFonts w:hint="eastAsia" w:asciiTheme="minorEastAsia" w:hAnsiTheme="minorEastAsia" w:eastAsiaTheme="minorEastAsia" w:cstheme="minorEastAsia"/>
                <w:kern w:val="0"/>
                <w:sz w:val="21"/>
                <w:szCs w:val="21"/>
                <w:highlight w:val="none"/>
              </w:rPr>
            </w:pPr>
          </w:p>
        </w:tc>
        <w:tc>
          <w:tcPr>
            <w:tcW w:w="990" w:type="dxa"/>
            <w:vMerge w:val="continue"/>
            <w:noWrap w:val="0"/>
            <w:vAlign w:val="center"/>
          </w:tcPr>
          <w:p>
            <w:pPr>
              <w:widowControl/>
              <w:adjustRightInd w:val="0"/>
              <w:snapToGrid w:val="0"/>
              <w:jc w:val="left"/>
              <w:rPr>
                <w:rFonts w:hint="eastAsia" w:asciiTheme="minorEastAsia" w:hAnsiTheme="minorEastAsia" w:eastAsiaTheme="minorEastAsia" w:cstheme="minorEastAsia"/>
                <w:kern w:val="0"/>
                <w:sz w:val="21"/>
                <w:szCs w:val="21"/>
                <w:highlight w:val="none"/>
              </w:rPr>
            </w:pPr>
          </w:p>
        </w:tc>
        <w:tc>
          <w:tcPr>
            <w:tcW w:w="4902" w:type="dxa"/>
            <w:noWrap w:val="0"/>
            <w:vAlign w:val="center"/>
          </w:tcPr>
          <w:p>
            <w:pPr>
              <w:widowControl/>
              <w:adjustRightInd w:val="0"/>
              <w:snapToGrid w:val="0"/>
              <w:jc w:val="left"/>
              <w:rPr>
                <w:rFonts w:hint="eastAsia" w:asciiTheme="minorEastAsia" w:hAnsiTheme="minorEastAsia" w:eastAsiaTheme="minorEastAsia" w:cstheme="minorEastAsia"/>
                <w:kern w:val="0"/>
                <w:sz w:val="21"/>
                <w:szCs w:val="21"/>
                <w:highlight w:val="none"/>
                <w:lang w:val="en-US" w:eastAsia="zh-CN" w:bidi="ar-SA"/>
              </w:rPr>
            </w:pPr>
          </w:p>
        </w:tc>
        <w:tc>
          <w:tcPr>
            <w:tcW w:w="4740" w:type="dxa"/>
            <w:noWrap w:val="0"/>
            <w:vAlign w:val="center"/>
          </w:tcPr>
          <w:p>
            <w:pPr>
              <w:widowControl/>
              <w:adjustRightInd w:val="0"/>
              <w:snapToGrid w:val="0"/>
              <w:jc w:val="left"/>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color w:val="FF0000"/>
                <w:kern w:val="0"/>
                <w:sz w:val="21"/>
                <w:szCs w:val="21"/>
                <w:highlight w:val="none"/>
              </w:rPr>
              <w:t>2.进、回风巷支护完整，无失修巷道；设备、物料与胶带、轨道等的安全距离符合规定，设备上方与顶板净距离不小于0.3m</w:t>
            </w:r>
          </w:p>
        </w:tc>
        <w:tc>
          <w:tcPr>
            <w:tcW w:w="2342" w:type="dxa"/>
            <w:noWrap w:val="0"/>
            <w:vAlign w:val="center"/>
          </w:tcPr>
          <w:p>
            <w:pPr>
              <w:adjustRightInd w:val="0"/>
              <w:snapToGrid w:val="0"/>
              <w:jc w:val="center"/>
              <w:rPr>
                <w:rFonts w:hint="eastAsia" w:asciiTheme="minorEastAsia" w:hAnsiTheme="minorEastAsia" w:eastAsiaTheme="minorEastAsia" w:cstheme="minorEastAsia"/>
                <w:b w:val="0"/>
                <w:bCs w:val="0"/>
                <w:color w:val="auto"/>
                <w:kern w:val="0"/>
                <w:sz w:val="21"/>
                <w:szCs w:val="21"/>
                <w:highlight w:val="none"/>
                <w:lang w:eastAsia="zh-CN"/>
              </w:rPr>
            </w:pPr>
            <w:r>
              <w:rPr>
                <w:rFonts w:hint="eastAsia" w:asciiTheme="minorEastAsia" w:hAnsiTheme="minorEastAsia" w:eastAsiaTheme="minorEastAsia" w:cstheme="minorEastAsia"/>
                <w:b w:val="0"/>
                <w:bCs w:val="0"/>
                <w:color w:val="auto"/>
                <w:kern w:val="0"/>
                <w:sz w:val="21"/>
                <w:szCs w:val="21"/>
                <w:highlight w:val="none"/>
                <w:lang w:eastAsia="zh-CN"/>
              </w:rPr>
              <w:t>删除</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643" w:hRule="atLeast"/>
          <w:jc w:val="center"/>
        </w:trPr>
        <w:tc>
          <w:tcPr>
            <w:tcW w:w="964" w:type="dxa"/>
            <w:vMerge w:val="continue"/>
            <w:tcBorders>
              <w:left w:val="nil"/>
            </w:tcBorders>
            <w:noWrap w:val="0"/>
            <w:textDirection w:val="tbRlV"/>
            <w:vAlign w:val="center"/>
          </w:tcPr>
          <w:p>
            <w:pPr>
              <w:adjustRightInd w:val="0"/>
              <w:snapToGrid w:val="0"/>
              <w:ind w:left="113" w:right="113"/>
              <w:jc w:val="center"/>
              <w:rPr>
                <w:rFonts w:hint="eastAsia" w:asciiTheme="minorEastAsia" w:hAnsiTheme="minorEastAsia" w:eastAsiaTheme="minorEastAsia" w:cstheme="minorEastAsia"/>
                <w:kern w:val="0"/>
                <w:sz w:val="21"/>
                <w:szCs w:val="21"/>
                <w:highlight w:val="none"/>
              </w:rPr>
            </w:pPr>
          </w:p>
        </w:tc>
        <w:tc>
          <w:tcPr>
            <w:tcW w:w="990" w:type="dxa"/>
            <w:vMerge w:val="continue"/>
            <w:tcBorders>
              <w:bottom w:val="single" w:color="auto" w:sz="6" w:space="0"/>
            </w:tcBorders>
            <w:noWrap w:val="0"/>
            <w:vAlign w:val="center"/>
          </w:tcPr>
          <w:p>
            <w:pPr>
              <w:widowControl/>
              <w:adjustRightInd w:val="0"/>
              <w:snapToGrid w:val="0"/>
              <w:jc w:val="left"/>
              <w:rPr>
                <w:rFonts w:hint="eastAsia" w:asciiTheme="minorEastAsia" w:hAnsiTheme="minorEastAsia" w:eastAsiaTheme="minorEastAsia" w:cstheme="minorEastAsia"/>
                <w:kern w:val="0"/>
                <w:sz w:val="21"/>
                <w:szCs w:val="21"/>
                <w:highlight w:val="none"/>
              </w:rPr>
            </w:pPr>
          </w:p>
        </w:tc>
        <w:tc>
          <w:tcPr>
            <w:tcW w:w="4902" w:type="dxa"/>
            <w:tcBorders>
              <w:bottom w:val="single" w:color="auto" w:sz="6" w:space="0"/>
            </w:tcBorders>
            <w:noWrap w:val="0"/>
            <w:vAlign w:val="center"/>
          </w:tcPr>
          <w:p>
            <w:pPr>
              <w:adjustRightInd w:val="0"/>
              <w:snapToGrid w:val="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1.物料分类码放整齐；电缆、管路吊挂规范；管路、设备无积尘；各转载点有喷雾降尘装置；</w:t>
            </w:r>
          </w:p>
          <w:p>
            <w:pPr>
              <w:widowControl/>
              <w:adjustRightInd w:val="0"/>
              <w:snapToGrid w:val="0"/>
              <w:jc w:val="left"/>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rPr>
              <w:t>2.巷道及硐室底板平整，无浮碴及杂物，无淤泥，无积水；工作面内无杂物，无浮煤，无积矸</w:t>
            </w:r>
          </w:p>
        </w:tc>
        <w:tc>
          <w:tcPr>
            <w:tcW w:w="4740" w:type="dxa"/>
            <w:tcBorders>
              <w:bottom w:val="single" w:color="auto" w:sz="6" w:space="0"/>
            </w:tcBorders>
            <w:noWrap w:val="0"/>
            <w:vAlign w:val="center"/>
          </w:tcPr>
          <w:p>
            <w:pPr>
              <w:widowControl/>
              <w:adjustRightInd w:val="0"/>
              <w:snapToGrid w:val="0"/>
              <w:jc w:val="left"/>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3.巷道及硐室底板平整，无浮碴及杂物，无淤泥，无积水；管路、设备无积尘；物料分类码放整齐，有标志牌，设备、物料放置地点与通风设施距离大于5m</w:t>
            </w:r>
          </w:p>
        </w:tc>
        <w:tc>
          <w:tcPr>
            <w:tcW w:w="2342" w:type="dxa"/>
            <w:tcBorders>
              <w:bottom w:val="single" w:color="auto" w:sz="6" w:space="0"/>
            </w:tcBorders>
            <w:noWrap w:val="0"/>
            <w:vAlign w:val="center"/>
          </w:tcPr>
          <w:p>
            <w:pPr>
              <w:adjustRightInd w:val="0"/>
              <w:snapToGrid w:val="0"/>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373" w:hRule="atLeast"/>
          <w:jc w:val="center"/>
        </w:trPr>
        <w:tc>
          <w:tcPr>
            <w:tcW w:w="964" w:type="dxa"/>
            <w:vMerge w:val="continue"/>
            <w:tcBorders>
              <w:left w:val="nil"/>
            </w:tcBorders>
            <w:noWrap w:val="0"/>
            <w:textDirection w:val="tbRlV"/>
            <w:vAlign w:val="center"/>
          </w:tcPr>
          <w:p>
            <w:pPr>
              <w:adjustRightInd w:val="0"/>
              <w:snapToGrid w:val="0"/>
              <w:ind w:left="113" w:right="113"/>
              <w:jc w:val="center"/>
              <w:rPr>
                <w:rFonts w:hint="eastAsia" w:asciiTheme="minorEastAsia" w:hAnsiTheme="minorEastAsia" w:eastAsiaTheme="minorEastAsia" w:cstheme="minorEastAsia"/>
                <w:kern w:val="0"/>
                <w:sz w:val="21"/>
                <w:szCs w:val="21"/>
                <w:highlight w:val="none"/>
              </w:rPr>
            </w:pPr>
          </w:p>
        </w:tc>
        <w:tc>
          <w:tcPr>
            <w:tcW w:w="990" w:type="dxa"/>
            <w:tcBorders>
              <w:right w:val="single" w:color="auto" w:sz="6" w:space="0"/>
            </w:tcBorders>
            <w:noWrap w:val="0"/>
            <w:vAlign w:val="center"/>
          </w:tcPr>
          <w:p>
            <w:pPr>
              <w:adjustRightInd w:val="0"/>
              <w:snapToGrid w:val="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面内环境</w:t>
            </w:r>
          </w:p>
        </w:tc>
        <w:tc>
          <w:tcPr>
            <w:tcW w:w="4902" w:type="dxa"/>
            <w:tcBorders>
              <w:left w:val="single" w:color="auto" w:sz="6" w:space="0"/>
              <w:right w:val="single" w:color="auto" w:sz="6" w:space="0"/>
            </w:tcBorders>
            <w:noWrap w:val="0"/>
            <w:vAlign w:val="center"/>
          </w:tcPr>
          <w:p>
            <w:pPr>
              <w:widowControl/>
              <w:adjustRightInd w:val="0"/>
              <w:snapToGrid w:val="0"/>
              <w:jc w:val="left"/>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color w:val="0070C0"/>
                <w:kern w:val="0"/>
                <w:sz w:val="21"/>
                <w:szCs w:val="21"/>
                <w:highlight w:val="none"/>
              </w:rPr>
              <w:t>泵站、休息地点、转载点、硐室、车场、带式输送机机头和机尾、挖掘机作业处等场所有照明；综合机械化采煤工作面照明灯间距不大于15m，上下顺槽照明灯间距不大于30m</w:t>
            </w:r>
          </w:p>
        </w:tc>
        <w:tc>
          <w:tcPr>
            <w:tcW w:w="4740" w:type="dxa"/>
            <w:tcBorders>
              <w:left w:val="single" w:color="auto" w:sz="6" w:space="0"/>
              <w:right w:val="single" w:color="auto" w:sz="6" w:space="0"/>
            </w:tcBorders>
            <w:noWrap w:val="0"/>
            <w:vAlign w:val="center"/>
          </w:tcPr>
          <w:p>
            <w:pPr>
              <w:widowControl/>
              <w:adjustRightInd w:val="0"/>
              <w:snapToGrid w:val="0"/>
              <w:jc w:val="left"/>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工作面内管路敷设整齐，液压支架内无浮煤、积矸，照明符合规定</w:t>
            </w:r>
          </w:p>
        </w:tc>
        <w:tc>
          <w:tcPr>
            <w:tcW w:w="2342" w:type="dxa"/>
            <w:tcBorders>
              <w:left w:val="single" w:color="auto" w:sz="6" w:space="0"/>
              <w:right w:val="nil"/>
            </w:tcBorders>
            <w:noWrap w:val="0"/>
            <w:vAlign w:val="center"/>
          </w:tcPr>
          <w:p>
            <w:pPr>
              <w:widowControl/>
              <w:adjustRightInd w:val="0"/>
              <w:snapToGrid w:val="0"/>
              <w:jc w:val="center"/>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eastAsia="zh-CN"/>
              </w:rPr>
              <w:t>新增</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1076" w:hRule="atLeast"/>
          <w:jc w:val="center"/>
        </w:trPr>
        <w:tc>
          <w:tcPr>
            <w:tcW w:w="964" w:type="dxa"/>
            <w:tcBorders>
              <w:left w:val="nil"/>
            </w:tcBorders>
            <w:noWrap w:val="0"/>
            <w:textDirection w:val="tbRlV"/>
            <w:vAlign w:val="center"/>
          </w:tcPr>
          <w:p>
            <w:pPr>
              <w:adjustRightInd w:val="0"/>
              <w:snapToGrid w:val="0"/>
              <w:ind w:left="113" w:right="113"/>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附加项（2分）</w:t>
            </w:r>
          </w:p>
        </w:tc>
        <w:tc>
          <w:tcPr>
            <w:tcW w:w="990" w:type="dxa"/>
            <w:tcBorders>
              <w:right w:val="single" w:color="auto" w:sz="6" w:space="0"/>
            </w:tcBorders>
            <w:noWrap w:val="0"/>
            <w:vAlign w:val="center"/>
          </w:tcPr>
          <w:p>
            <w:pPr>
              <w:widowControl/>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技术进步</w:t>
            </w:r>
          </w:p>
        </w:tc>
        <w:tc>
          <w:tcPr>
            <w:tcW w:w="4902" w:type="dxa"/>
            <w:tcBorders>
              <w:top w:val="single" w:color="auto" w:sz="4" w:space="0"/>
              <w:left w:val="single" w:color="auto" w:sz="6" w:space="0"/>
              <w:right w:val="single" w:color="auto" w:sz="6" w:space="0"/>
            </w:tcBorders>
            <w:noWrap w:val="0"/>
            <w:vAlign w:val="center"/>
          </w:tcPr>
          <w:p>
            <w:pPr>
              <w:widowControl/>
              <w:jc w:val="left"/>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建成智能化采煤工作面并正常运行</w:t>
            </w:r>
          </w:p>
        </w:tc>
        <w:tc>
          <w:tcPr>
            <w:tcW w:w="4740" w:type="dxa"/>
            <w:tcBorders>
              <w:top w:val="single" w:color="auto" w:sz="4" w:space="0"/>
              <w:left w:val="single" w:color="auto" w:sz="6" w:space="0"/>
              <w:right w:val="single" w:color="auto" w:sz="6" w:space="0"/>
            </w:tcBorders>
            <w:noWrap w:val="0"/>
            <w:vAlign w:val="center"/>
          </w:tcPr>
          <w:p>
            <w:pPr>
              <w:jc w:val="left"/>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采用智能化采煤工作面，生产时作业人数不超过5人</w:t>
            </w:r>
          </w:p>
        </w:tc>
        <w:tc>
          <w:tcPr>
            <w:tcW w:w="2342" w:type="dxa"/>
            <w:tcBorders>
              <w:top w:val="single" w:color="auto" w:sz="4" w:space="0"/>
              <w:left w:val="single" w:color="auto" w:sz="6" w:space="0"/>
              <w:right w:val="nil"/>
            </w:tcBorders>
            <w:noWrap w:val="0"/>
            <w:vAlign w:val="center"/>
          </w:tcPr>
          <w:p>
            <w:pPr>
              <w:widowControl/>
              <w:adjustRightInd w:val="0"/>
              <w:snapToGrid w:val="0"/>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变换说法</w:t>
            </w:r>
          </w:p>
        </w:tc>
      </w:tr>
    </w:tbl>
    <w:p>
      <w:pPr>
        <w:rPr>
          <w:highlight w:val="none"/>
        </w:rPr>
      </w:pPr>
      <w:r>
        <w:rPr>
          <w:highlight w:val="none"/>
        </w:rPr>
        <w:br w:type="page"/>
      </w:r>
    </w:p>
    <w:p>
      <w:pPr>
        <w:tabs>
          <w:tab w:val="center" w:pos="4201"/>
          <w:tab w:val="right" w:leader="dot" w:pos="9298"/>
        </w:tabs>
        <w:autoSpaceDE w:val="0"/>
        <w:autoSpaceDN w:val="0"/>
        <w:spacing w:line="560" w:lineRule="exact"/>
        <w:jc w:val="center"/>
        <w:rPr>
          <w:rFonts w:hint="eastAsia" w:asciiTheme="minorEastAsia" w:hAnsiTheme="minorEastAsia" w:eastAsiaTheme="minorEastAsia" w:cstheme="minorEastAsia"/>
          <w:b/>
          <w:bCs/>
          <w:strike w:val="0"/>
          <w:dstrike w:val="0"/>
          <w:sz w:val="32"/>
          <w:szCs w:val="32"/>
          <w:highlight w:val="none"/>
        </w:rPr>
      </w:pPr>
      <w:r>
        <w:rPr>
          <w:rFonts w:hint="eastAsia" w:asciiTheme="minorEastAsia" w:hAnsiTheme="minorEastAsia" w:eastAsiaTheme="minorEastAsia" w:cstheme="minorEastAsia"/>
          <w:b/>
          <w:bCs/>
          <w:strike w:val="0"/>
          <w:dstrike w:val="0"/>
          <w:sz w:val="32"/>
          <w:szCs w:val="32"/>
          <w:highlight w:val="none"/>
          <w:lang w:val="en-US" w:eastAsia="zh-CN"/>
        </w:rPr>
        <w:t>6、</w:t>
      </w:r>
      <w:r>
        <w:rPr>
          <w:rFonts w:hint="eastAsia" w:asciiTheme="minorEastAsia" w:hAnsiTheme="minorEastAsia" w:eastAsiaTheme="minorEastAsia" w:cstheme="minorEastAsia"/>
          <w:b/>
          <w:bCs/>
          <w:strike w:val="0"/>
          <w:dstrike w:val="0"/>
          <w:sz w:val="32"/>
          <w:szCs w:val="32"/>
          <w:highlight w:val="none"/>
        </w:rPr>
        <w:t>井工煤矿掘进标准化评分表</w:t>
      </w:r>
    </w:p>
    <w:tbl>
      <w:tblPr>
        <w:tblStyle w:val="8"/>
        <w:tblW w:w="13936"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887"/>
        <w:gridCol w:w="5056"/>
        <w:gridCol w:w="4225"/>
        <w:gridCol w:w="259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tblHeader/>
          <w:jc w:val="center"/>
        </w:trPr>
        <w:tc>
          <w:tcPr>
            <w:tcW w:w="1174" w:type="dxa"/>
            <w:tcBorders>
              <w:tl2br w:val="nil"/>
              <w:tr2bl w:val="nil"/>
            </w:tcBorders>
            <w:vAlign w:val="center"/>
          </w:tcPr>
          <w:p>
            <w:pPr>
              <w:widowControl/>
              <w:jc w:val="center"/>
              <w:textAlignment w:val="center"/>
              <w:rPr>
                <w:rFonts w:hint="eastAsia" w:asciiTheme="majorEastAsia" w:hAnsiTheme="majorEastAsia" w:eastAsiaTheme="majorEastAsia" w:cstheme="majorEastAsia"/>
                <w:b/>
                <w:bCs/>
                <w:strike w:val="0"/>
                <w:dstrike w:val="0"/>
                <w:sz w:val="21"/>
                <w:szCs w:val="21"/>
                <w:highlight w:val="none"/>
              </w:rPr>
            </w:pPr>
            <w:r>
              <w:rPr>
                <w:rFonts w:hint="eastAsia" w:asciiTheme="majorEastAsia" w:hAnsiTheme="majorEastAsia" w:eastAsiaTheme="majorEastAsia" w:cstheme="majorEastAsia"/>
                <w:b/>
                <w:bCs/>
                <w:strike w:val="0"/>
                <w:dstrike w:val="0"/>
                <w:sz w:val="21"/>
                <w:szCs w:val="21"/>
                <w:highlight w:val="none"/>
              </w:rPr>
              <w:t>项目</w:t>
            </w:r>
          </w:p>
        </w:tc>
        <w:tc>
          <w:tcPr>
            <w:tcW w:w="887" w:type="dxa"/>
            <w:tcBorders>
              <w:tl2br w:val="nil"/>
              <w:tr2bl w:val="nil"/>
            </w:tcBorders>
            <w:vAlign w:val="center"/>
          </w:tcPr>
          <w:p>
            <w:pPr>
              <w:widowControl/>
              <w:jc w:val="center"/>
              <w:textAlignment w:val="center"/>
              <w:rPr>
                <w:rFonts w:hint="eastAsia" w:asciiTheme="majorEastAsia" w:hAnsiTheme="majorEastAsia" w:eastAsiaTheme="majorEastAsia" w:cstheme="majorEastAsia"/>
                <w:b/>
                <w:bCs/>
                <w:strike w:val="0"/>
                <w:dstrike w:val="0"/>
                <w:sz w:val="21"/>
                <w:szCs w:val="21"/>
                <w:highlight w:val="none"/>
              </w:rPr>
            </w:pPr>
            <w:r>
              <w:rPr>
                <w:rFonts w:hint="eastAsia" w:asciiTheme="majorEastAsia" w:hAnsiTheme="majorEastAsia" w:eastAsiaTheme="majorEastAsia" w:cstheme="majorEastAsia"/>
                <w:b/>
                <w:bCs/>
                <w:strike w:val="0"/>
                <w:dstrike w:val="0"/>
                <w:sz w:val="21"/>
                <w:szCs w:val="21"/>
                <w:highlight w:val="none"/>
              </w:rPr>
              <w:t>项目内容</w:t>
            </w:r>
          </w:p>
        </w:tc>
        <w:tc>
          <w:tcPr>
            <w:tcW w:w="5056" w:type="dxa"/>
            <w:tcBorders>
              <w:tl2br w:val="nil"/>
              <w:tr2bl w:val="nil"/>
            </w:tcBorders>
            <w:vAlign w:val="center"/>
          </w:tcPr>
          <w:p>
            <w:pPr>
              <w:widowControl/>
              <w:jc w:val="center"/>
              <w:textAlignment w:val="center"/>
              <w:rPr>
                <w:rFonts w:hint="eastAsia" w:asciiTheme="majorEastAsia" w:hAnsiTheme="majorEastAsia" w:eastAsiaTheme="majorEastAsia" w:cstheme="majorEastAsia"/>
                <w:b/>
                <w:bCs/>
                <w:strike w:val="0"/>
                <w:dstrike w:val="0"/>
                <w:sz w:val="21"/>
                <w:szCs w:val="21"/>
                <w:highlight w:val="none"/>
              </w:rPr>
            </w:pPr>
            <w:r>
              <w:rPr>
                <w:rFonts w:hint="eastAsia" w:asciiTheme="majorEastAsia" w:hAnsiTheme="majorEastAsia" w:eastAsiaTheme="majorEastAsia" w:cstheme="majorEastAsia"/>
                <w:b/>
                <w:bCs/>
                <w:strike w:val="0"/>
                <w:dstrike w:val="0"/>
                <w:sz w:val="21"/>
                <w:szCs w:val="21"/>
                <w:highlight w:val="none"/>
              </w:rPr>
              <w:t>2024版基本要求</w:t>
            </w:r>
          </w:p>
        </w:tc>
        <w:tc>
          <w:tcPr>
            <w:tcW w:w="4225" w:type="dxa"/>
            <w:tcBorders>
              <w:tl2br w:val="nil"/>
              <w:tr2bl w:val="nil"/>
            </w:tcBorders>
            <w:vAlign w:val="center"/>
          </w:tcPr>
          <w:p>
            <w:pPr>
              <w:widowControl/>
              <w:jc w:val="center"/>
              <w:textAlignment w:val="center"/>
              <w:rPr>
                <w:rFonts w:hint="eastAsia" w:asciiTheme="majorEastAsia" w:hAnsiTheme="majorEastAsia" w:eastAsiaTheme="majorEastAsia" w:cstheme="majorEastAsia"/>
                <w:b/>
                <w:bCs/>
                <w:strike w:val="0"/>
                <w:dstrike w:val="0"/>
                <w:sz w:val="21"/>
                <w:szCs w:val="21"/>
                <w:highlight w:val="none"/>
              </w:rPr>
            </w:pPr>
            <w:r>
              <w:rPr>
                <w:rFonts w:hint="eastAsia" w:asciiTheme="majorEastAsia" w:hAnsiTheme="majorEastAsia" w:eastAsiaTheme="majorEastAsia" w:cstheme="majorEastAsia"/>
                <w:b/>
                <w:bCs/>
                <w:strike w:val="0"/>
                <w:dstrike w:val="0"/>
                <w:sz w:val="21"/>
                <w:szCs w:val="21"/>
                <w:highlight w:val="none"/>
              </w:rPr>
              <w:t>2020版基本要求</w:t>
            </w:r>
          </w:p>
        </w:tc>
        <w:tc>
          <w:tcPr>
            <w:tcW w:w="2594" w:type="dxa"/>
            <w:tcBorders>
              <w:tl2br w:val="nil"/>
              <w:tr2bl w:val="nil"/>
            </w:tcBorders>
            <w:vAlign w:val="center"/>
          </w:tcPr>
          <w:p>
            <w:pPr>
              <w:widowControl/>
              <w:jc w:val="center"/>
              <w:textAlignment w:val="center"/>
              <w:rPr>
                <w:rFonts w:hint="eastAsia" w:asciiTheme="majorEastAsia" w:hAnsiTheme="majorEastAsia" w:eastAsiaTheme="majorEastAsia" w:cstheme="majorEastAsia"/>
                <w:b/>
                <w:bCs/>
                <w:strike w:val="0"/>
                <w:dstrike w:val="0"/>
                <w:color w:val="auto"/>
                <w:sz w:val="21"/>
                <w:szCs w:val="21"/>
                <w:highlight w:val="none"/>
              </w:rPr>
            </w:pPr>
            <w:r>
              <w:rPr>
                <w:rFonts w:hint="eastAsia" w:asciiTheme="majorEastAsia" w:hAnsiTheme="majorEastAsia" w:eastAsiaTheme="majorEastAsia" w:cstheme="majorEastAsia"/>
                <w:b/>
                <w:bCs/>
                <w:strike w:val="0"/>
                <w:dstrike w:val="0"/>
                <w:color w:val="auto"/>
                <w:sz w:val="21"/>
                <w:szCs w:val="21"/>
                <w:highlight w:val="none"/>
              </w:rPr>
              <w:t>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438" w:hRule="atLeast"/>
          <w:jc w:val="center"/>
        </w:trPr>
        <w:tc>
          <w:tcPr>
            <w:tcW w:w="1174" w:type="dxa"/>
            <w:vMerge w:val="restart"/>
            <w:tcBorders>
              <w:tl2br w:val="nil"/>
              <w:tr2bl w:val="nil"/>
            </w:tcBorders>
            <w:textDirection w:val="tbRlV"/>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一、基础管理（19分）</w:t>
            </w:r>
          </w:p>
        </w:tc>
        <w:tc>
          <w:tcPr>
            <w:tcW w:w="887"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生产布局</w:t>
            </w:r>
          </w:p>
        </w:tc>
        <w:tc>
          <w:tcPr>
            <w:tcW w:w="5056" w:type="dxa"/>
            <w:tcBorders>
              <w:tl2br w:val="nil"/>
              <w:tr2bl w:val="nil"/>
            </w:tcBorders>
            <w:vAlign w:val="center"/>
          </w:tcPr>
          <w:p>
            <w:pPr>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color w:val="0070C0"/>
                <w:kern w:val="0"/>
                <w:sz w:val="21"/>
                <w:szCs w:val="21"/>
                <w:highlight w:val="none"/>
              </w:rPr>
              <w:t>按批准的设计布置掘进工作面；个数符合《煤矿安全规程》规定</w:t>
            </w:r>
          </w:p>
        </w:tc>
        <w:tc>
          <w:tcPr>
            <w:tcW w:w="4225"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r>
              <w:rPr>
                <w:rFonts w:hint="eastAsia" w:asciiTheme="majorEastAsia" w:hAnsiTheme="majorEastAsia" w:eastAsiaTheme="majorEastAsia" w:cstheme="majorEastAsia"/>
                <w:strike w:val="0"/>
                <w:dstrike w:val="0"/>
                <w:color w:val="auto"/>
                <w:kern w:val="0"/>
                <w:sz w:val="21"/>
                <w:szCs w:val="21"/>
                <w:highlight w:val="none"/>
              </w:rPr>
              <w:t>新增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82" w:hRule="atLeast"/>
          <w:jc w:val="center"/>
        </w:trPr>
        <w:tc>
          <w:tcPr>
            <w:tcW w:w="1174" w:type="dxa"/>
            <w:vMerge w:val="continue"/>
            <w:tcBorders>
              <w:tl2br w:val="nil"/>
              <w:tr2bl w:val="nil"/>
            </w:tcBorders>
            <w:textDirection w:val="tbRlV"/>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p>
        </w:tc>
        <w:tc>
          <w:tcPr>
            <w:tcW w:w="887"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规程措施</w:t>
            </w:r>
          </w:p>
        </w:tc>
        <w:tc>
          <w:tcPr>
            <w:tcW w:w="5056"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1.掘进工作面开工前编制作业规程，内容符合相关要求：明确巷道施工工艺、循环进尺、</w:t>
            </w:r>
            <w:r>
              <w:rPr>
                <w:rFonts w:hint="eastAsia" w:asciiTheme="majorEastAsia" w:hAnsiTheme="majorEastAsia" w:eastAsiaTheme="majorEastAsia" w:cstheme="majorEastAsia"/>
                <w:strike w:val="0"/>
                <w:dstrike w:val="0"/>
                <w:color w:val="00B0F0"/>
                <w:kern w:val="0"/>
                <w:sz w:val="21"/>
                <w:szCs w:val="21"/>
                <w:highlight w:val="none"/>
              </w:rPr>
              <w:t>空顶距</w:t>
            </w:r>
            <w:r>
              <w:rPr>
                <w:rFonts w:hint="eastAsia" w:asciiTheme="majorEastAsia" w:hAnsiTheme="majorEastAsia" w:eastAsiaTheme="majorEastAsia" w:cstheme="majorEastAsia"/>
                <w:strike w:val="0"/>
                <w:dstrike w:val="0"/>
                <w:kern w:val="0"/>
                <w:sz w:val="21"/>
                <w:szCs w:val="21"/>
                <w:highlight w:val="none"/>
              </w:rPr>
              <w:t>、临时支护及永久支护的形式和支护参数，有防止冒顶、片帮的安全措施；现场条件发生变化时，及时修改作业规程或补充安全技术措施；</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2.</w:t>
            </w:r>
            <w:r>
              <w:rPr>
                <w:rFonts w:hint="eastAsia" w:asciiTheme="majorEastAsia" w:hAnsiTheme="majorEastAsia" w:eastAsiaTheme="majorEastAsia" w:cstheme="majorEastAsia"/>
                <w:strike w:val="0"/>
                <w:dstrike w:val="0"/>
                <w:color w:val="0070C0"/>
                <w:kern w:val="0"/>
                <w:sz w:val="21"/>
                <w:szCs w:val="21"/>
                <w:highlight w:val="none"/>
              </w:rPr>
              <w:t>大型设备安装拆除、大硐室开凿、巷道维修、贯通以及</w:t>
            </w:r>
            <w:r>
              <w:rPr>
                <w:rFonts w:hint="eastAsia" w:asciiTheme="majorEastAsia" w:hAnsiTheme="majorEastAsia" w:eastAsiaTheme="majorEastAsia" w:cstheme="majorEastAsia"/>
                <w:strike w:val="0"/>
                <w:dstrike w:val="0"/>
                <w:kern w:val="0"/>
                <w:sz w:val="21"/>
                <w:szCs w:val="21"/>
                <w:highlight w:val="none"/>
              </w:rPr>
              <w:t>过断层、采空区</w:t>
            </w:r>
            <w:r>
              <w:rPr>
                <w:rFonts w:hint="eastAsia" w:asciiTheme="majorEastAsia" w:hAnsiTheme="majorEastAsia" w:eastAsiaTheme="majorEastAsia" w:cstheme="majorEastAsia"/>
                <w:strike w:val="0"/>
                <w:dstrike w:val="0"/>
                <w:color w:val="0070C0"/>
                <w:kern w:val="0"/>
                <w:sz w:val="21"/>
                <w:szCs w:val="21"/>
                <w:highlight w:val="none"/>
              </w:rPr>
              <w:t>、</w:t>
            </w:r>
            <w:r>
              <w:rPr>
                <w:rFonts w:hint="eastAsia" w:asciiTheme="majorEastAsia" w:hAnsiTheme="majorEastAsia" w:eastAsiaTheme="majorEastAsia" w:cstheme="majorEastAsia"/>
                <w:strike w:val="0"/>
                <w:dstrike w:val="0"/>
                <w:kern w:val="0"/>
                <w:sz w:val="21"/>
                <w:szCs w:val="21"/>
                <w:highlight w:val="none"/>
              </w:rPr>
              <w:t>破碎带等应编制安全技术措施并组织实施；</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3.规程措施在施工前完成审批并贯彻；</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4.煤矿总工程师至少每2个月组织对作业规程进行复审，并有复审意见</w:t>
            </w:r>
          </w:p>
        </w:tc>
        <w:tc>
          <w:tcPr>
            <w:tcW w:w="4225"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1.作业规程编制、审批符合要求，矿总工程师至少每两个月组织对作业规程及贯彻实施情况进行复审，且有复审意见；</w:t>
            </w:r>
            <w:r>
              <w:rPr>
                <w:rFonts w:hint="eastAsia" w:asciiTheme="majorEastAsia" w:hAnsiTheme="majorEastAsia" w:eastAsiaTheme="majorEastAsia" w:cstheme="majorEastAsia"/>
                <w:strike w:val="0"/>
                <w:dstrike w:val="0"/>
                <w:color w:val="FF0000"/>
                <w:kern w:val="0"/>
                <w:sz w:val="21"/>
                <w:szCs w:val="21"/>
                <w:highlight w:val="none"/>
              </w:rPr>
              <w:t>当设计、工艺、支护参数、地质及水文地质</w:t>
            </w:r>
            <w:r>
              <w:rPr>
                <w:rFonts w:hint="eastAsia" w:asciiTheme="majorEastAsia" w:hAnsiTheme="majorEastAsia" w:eastAsiaTheme="majorEastAsia" w:cstheme="majorEastAsia"/>
                <w:strike w:val="0"/>
                <w:dstrike w:val="0"/>
                <w:kern w:val="0"/>
                <w:sz w:val="21"/>
                <w:szCs w:val="21"/>
                <w:highlight w:val="none"/>
              </w:rPr>
              <w:t>条件等发生较大变化时，及时修改完善作业规程或补充安全措施</w:t>
            </w:r>
            <w:r>
              <w:rPr>
                <w:rFonts w:hint="eastAsia" w:asciiTheme="majorEastAsia" w:hAnsiTheme="majorEastAsia" w:eastAsiaTheme="majorEastAsia" w:cstheme="majorEastAsia"/>
                <w:strike w:val="0"/>
                <w:dstrike w:val="0"/>
                <w:color w:val="FF0000"/>
                <w:kern w:val="0"/>
                <w:sz w:val="21"/>
                <w:szCs w:val="21"/>
                <w:highlight w:val="none"/>
              </w:rPr>
              <w:t>并组织实施</w:t>
            </w:r>
            <w:r>
              <w:rPr>
                <w:rFonts w:hint="eastAsia" w:asciiTheme="majorEastAsia" w:hAnsiTheme="majorEastAsia" w:eastAsiaTheme="majorEastAsia" w:cstheme="majorEastAsia"/>
                <w:strike w:val="0"/>
                <w:dstrike w:val="0"/>
                <w:kern w:val="0"/>
                <w:sz w:val="21"/>
                <w:szCs w:val="21"/>
                <w:highlight w:val="none"/>
              </w:rPr>
              <w:t>；</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2.作业规程中明确巷道施工工艺、</w:t>
            </w:r>
            <w:r>
              <w:rPr>
                <w:rFonts w:hint="eastAsia" w:asciiTheme="majorEastAsia" w:hAnsiTheme="majorEastAsia" w:eastAsiaTheme="majorEastAsia" w:cstheme="majorEastAsia"/>
                <w:strike w:val="0"/>
                <w:dstrike w:val="0"/>
                <w:color w:val="FF0000"/>
                <w:kern w:val="0"/>
                <w:sz w:val="21"/>
                <w:szCs w:val="21"/>
                <w:highlight w:val="none"/>
              </w:rPr>
              <w:t>掘进</w:t>
            </w:r>
            <w:r>
              <w:rPr>
                <w:rFonts w:hint="eastAsia" w:asciiTheme="majorEastAsia" w:hAnsiTheme="majorEastAsia" w:eastAsiaTheme="majorEastAsia" w:cstheme="majorEastAsia"/>
                <w:strike w:val="0"/>
                <w:dstrike w:val="0"/>
                <w:kern w:val="0"/>
                <w:sz w:val="21"/>
                <w:szCs w:val="21"/>
                <w:highlight w:val="none"/>
              </w:rPr>
              <w:t>循环进尺、临时支护及永久支护的形式和支护参数、</w:t>
            </w:r>
            <w:r>
              <w:rPr>
                <w:rFonts w:hint="eastAsia" w:asciiTheme="majorEastAsia" w:hAnsiTheme="majorEastAsia" w:eastAsiaTheme="majorEastAsia" w:cstheme="majorEastAsia"/>
                <w:strike w:val="0"/>
                <w:dstrike w:val="0"/>
                <w:color w:val="FF0000"/>
                <w:kern w:val="0"/>
                <w:sz w:val="21"/>
                <w:szCs w:val="21"/>
                <w:highlight w:val="none"/>
              </w:rPr>
              <w:t>距掘进工作面的距离</w:t>
            </w:r>
            <w:r>
              <w:rPr>
                <w:rFonts w:hint="eastAsia" w:asciiTheme="majorEastAsia" w:hAnsiTheme="majorEastAsia" w:eastAsiaTheme="majorEastAsia" w:cstheme="majorEastAsia"/>
                <w:strike w:val="0"/>
                <w:dstrike w:val="0"/>
                <w:kern w:val="0"/>
                <w:sz w:val="21"/>
                <w:szCs w:val="21"/>
                <w:highlight w:val="none"/>
              </w:rPr>
              <w:t>等，并制定防止冒顶、片帮的安全措施；</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3.巷道有经审批符合要求的设计，</w:t>
            </w:r>
            <w:r>
              <w:rPr>
                <w:rFonts w:hint="eastAsia" w:asciiTheme="majorEastAsia" w:hAnsiTheme="majorEastAsia" w:eastAsiaTheme="majorEastAsia" w:cstheme="majorEastAsia"/>
                <w:strike w:val="0"/>
                <w:dstrike w:val="0"/>
                <w:color w:val="FF0000"/>
                <w:kern w:val="0"/>
                <w:sz w:val="21"/>
                <w:szCs w:val="21"/>
                <w:highlight w:val="none"/>
              </w:rPr>
              <w:t>巷道开掘</w:t>
            </w:r>
            <w:r>
              <w:rPr>
                <w:rFonts w:hint="eastAsia" w:asciiTheme="majorEastAsia" w:hAnsiTheme="majorEastAsia" w:eastAsiaTheme="majorEastAsia" w:cstheme="majorEastAsia"/>
                <w:strike w:val="0"/>
                <w:dstrike w:val="0"/>
                <w:kern w:val="0"/>
                <w:sz w:val="21"/>
                <w:szCs w:val="21"/>
                <w:highlight w:val="none"/>
              </w:rPr>
              <w:t>、贯通前组织现场会审并制定专项安全措施；</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4.过采空区、</w:t>
            </w:r>
            <w:r>
              <w:rPr>
                <w:rFonts w:hint="eastAsia" w:asciiTheme="majorEastAsia" w:hAnsiTheme="majorEastAsia" w:eastAsiaTheme="majorEastAsia" w:cstheme="majorEastAsia"/>
                <w:strike w:val="0"/>
                <w:dstrike w:val="0"/>
                <w:color w:val="FF0000"/>
                <w:kern w:val="0"/>
                <w:sz w:val="21"/>
                <w:szCs w:val="21"/>
                <w:highlight w:val="none"/>
              </w:rPr>
              <w:t>老巷</w:t>
            </w:r>
            <w:r>
              <w:rPr>
                <w:rFonts w:hint="eastAsia" w:asciiTheme="majorEastAsia" w:hAnsiTheme="majorEastAsia" w:eastAsiaTheme="majorEastAsia" w:cstheme="majorEastAsia"/>
                <w:strike w:val="0"/>
                <w:dstrike w:val="0"/>
                <w:kern w:val="0"/>
                <w:sz w:val="21"/>
                <w:szCs w:val="21"/>
                <w:highlight w:val="none"/>
              </w:rPr>
              <w:t>、断层、破碎带和</w:t>
            </w:r>
            <w:r>
              <w:rPr>
                <w:rFonts w:hint="eastAsia" w:asciiTheme="majorEastAsia" w:hAnsiTheme="majorEastAsia" w:eastAsiaTheme="majorEastAsia" w:cstheme="majorEastAsia"/>
                <w:strike w:val="0"/>
                <w:dstrike w:val="0"/>
                <w:color w:val="FF0000"/>
                <w:kern w:val="0"/>
                <w:sz w:val="21"/>
                <w:szCs w:val="21"/>
                <w:highlight w:val="none"/>
              </w:rPr>
              <w:t>岩性突变地带</w:t>
            </w:r>
            <w:r>
              <w:rPr>
                <w:rFonts w:hint="eastAsia" w:asciiTheme="majorEastAsia" w:hAnsiTheme="majorEastAsia" w:eastAsiaTheme="majorEastAsia" w:cstheme="majorEastAsia"/>
                <w:strike w:val="0"/>
                <w:dstrike w:val="0"/>
                <w:kern w:val="0"/>
                <w:sz w:val="21"/>
                <w:szCs w:val="21"/>
                <w:highlight w:val="none"/>
              </w:rPr>
              <w:t>应有针对性措施，加强支护</w:t>
            </w: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961" w:hRule="atLeast"/>
          <w:jc w:val="center"/>
        </w:trPr>
        <w:tc>
          <w:tcPr>
            <w:tcW w:w="1174" w:type="dxa"/>
            <w:vMerge w:val="continue"/>
            <w:tcBorders>
              <w:tl2br w:val="nil"/>
              <w:tr2bl w:val="nil"/>
            </w:tcBorders>
            <w:textDirection w:val="tbRlV"/>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p>
        </w:tc>
        <w:tc>
          <w:tcPr>
            <w:tcW w:w="887"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矿压监测</w:t>
            </w:r>
          </w:p>
        </w:tc>
        <w:tc>
          <w:tcPr>
            <w:tcW w:w="5056"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1.开展巷道围岩表面位移观测，煤巷、半煤岩巷锚杆（索）支护巷道有顶板离层监测；</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2.观测、监测有记录，记录数据符合实际；</w:t>
            </w:r>
            <w:r>
              <w:rPr>
                <w:rFonts w:hint="eastAsia" w:asciiTheme="majorEastAsia" w:hAnsiTheme="majorEastAsia" w:eastAsiaTheme="majorEastAsia" w:cstheme="majorEastAsia"/>
                <w:strike w:val="0"/>
                <w:dstrike w:val="0"/>
                <w:color w:val="0070C0"/>
                <w:kern w:val="0"/>
                <w:sz w:val="21"/>
                <w:szCs w:val="21"/>
                <w:highlight w:val="none"/>
              </w:rPr>
              <w:t>每月至少对观测数据进行1次规律分析，形成报告指导安全生产</w:t>
            </w:r>
            <w:r>
              <w:rPr>
                <w:rFonts w:hint="eastAsia" w:asciiTheme="majorEastAsia" w:hAnsiTheme="majorEastAsia" w:eastAsiaTheme="majorEastAsia" w:cstheme="majorEastAsia"/>
                <w:strike w:val="0"/>
                <w:dstrike w:val="0"/>
                <w:kern w:val="0"/>
                <w:sz w:val="21"/>
                <w:szCs w:val="21"/>
                <w:highlight w:val="none"/>
              </w:rPr>
              <w:t>；</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3.</w:t>
            </w:r>
            <w:r>
              <w:rPr>
                <w:rFonts w:hint="eastAsia" w:asciiTheme="majorEastAsia" w:hAnsiTheme="majorEastAsia" w:eastAsiaTheme="majorEastAsia" w:cstheme="majorEastAsia"/>
                <w:strike w:val="0"/>
                <w:dstrike w:val="0"/>
                <w:color w:val="0070C0"/>
                <w:kern w:val="0"/>
                <w:sz w:val="21"/>
                <w:szCs w:val="21"/>
                <w:highlight w:val="none"/>
              </w:rPr>
              <w:t>顶板离层临界值在作业规程中规定，超过临界值时顶板有加固措施</w:t>
            </w:r>
          </w:p>
        </w:tc>
        <w:tc>
          <w:tcPr>
            <w:tcW w:w="4225"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1.煤巷、半煤岩巷锚杆、锚索支护巷道进行顶板离层观测，</w:t>
            </w:r>
            <w:r>
              <w:rPr>
                <w:rFonts w:hint="eastAsia" w:asciiTheme="majorEastAsia" w:hAnsiTheme="majorEastAsia" w:eastAsiaTheme="majorEastAsia" w:cstheme="majorEastAsia"/>
                <w:strike w:val="0"/>
                <w:dstrike w:val="0"/>
                <w:color w:val="FF0000"/>
                <w:kern w:val="0"/>
                <w:sz w:val="21"/>
                <w:szCs w:val="21"/>
                <w:highlight w:val="none"/>
              </w:rPr>
              <w:t>并填写记录牌板</w:t>
            </w:r>
            <w:r>
              <w:rPr>
                <w:rFonts w:hint="eastAsia" w:asciiTheme="majorEastAsia" w:hAnsiTheme="majorEastAsia" w:eastAsiaTheme="majorEastAsia" w:cstheme="majorEastAsia"/>
                <w:strike w:val="0"/>
                <w:dstrike w:val="0"/>
                <w:kern w:val="0"/>
                <w:sz w:val="21"/>
                <w:szCs w:val="21"/>
                <w:highlight w:val="none"/>
              </w:rPr>
              <w:t xml:space="preserve">；进行围岩观测并分析、预报，根据预报调整支护设计并实施； </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2.根据地质及水文地质预报制定安全技术措施，落实到位；</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3.</w:t>
            </w:r>
            <w:r>
              <w:rPr>
                <w:rFonts w:hint="eastAsia" w:asciiTheme="majorEastAsia" w:hAnsiTheme="majorEastAsia" w:eastAsiaTheme="majorEastAsia" w:cstheme="majorEastAsia"/>
                <w:strike w:val="0"/>
                <w:dstrike w:val="0"/>
                <w:color w:val="FF0000"/>
                <w:kern w:val="0"/>
                <w:sz w:val="21"/>
                <w:szCs w:val="21"/>
                <w:highlight w:val="none"/>
              </w:rPr>
              <w:t>做到有疑必探，先探后掘</w:t>
            </w: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69" w:hRule="atLeast"/>
          <w:jc w:val="center"/>
        </w:trPr>
        <w:tc>
          <w:tcPr>
            <w:tcW w:w="1174" w:type="dxa"/>
            <w:vMerge w:val="continue"/>
            <w:tcBorders>
              <w:tl2br w:val="nil"/>
              <w:tr2bl w:val="nil"/>
            </w:tcBorders>
            <w:textDirection w:val="tbRlV"/>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p>
        </w:tc>
        <w:tc>
          <w:tcPr>
            <w:tcW w:w="887"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支护材料</w:t>
            </w:r>
          </w:p>
        </w:tc>
        <w:tc>
          <w:tcPr>
            <w:tcW w:w="5056"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color w:val="0070C0"/>
                <w:kern w:val="0"/>
                <w:sz w:val="21"/>
                <w:szCs w:val="21"/>
                <w:highlight w:val="none"/>
              </w:rPr>
            </w:pPr>
            <w:r>
              <w:rPr>
                <w:rFonts w:hint="eastAsia" w:asciiTheme="majorEastAsia" w:hAnsiTheme="majorEastAsia" w:eastAsiaTheme="majorEastAsia" w:cstheme="majorEastAsia"/>
                <w:strike w:val="0"/>
                <w:dstrike w:val="0"/>
                <w:color w:val="0070C0"/>
                <w:kern w:val="0"/>
                <w:sz w:val="21"/>
                <w:szCs w:val="21"/>
                <w:highlight w:val="none"/>
              </w:rPr>
              <w:t>1.建立支护材料验收、抽样检验制度；支护材料及配件的材质、品种、规格、强度等符合设计要求；</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color w:val="0070C0"/>
                <w:kern w:val="0"/>
                <w:sz w:val="21"/>
                <w:szCs w:val="21"/>
                <w:highlight w:val="none"/>
              </w:rPr>
              <w:t>2.备用材料和备件规格、型号、数量及存放地点符合作业规程要求</w:t>
            </w:r>
          </w:p>
        </w:tc>
        <w:tc>
          <w:tcPr>
            <w:tcW w:w="4225"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r>
              <w:rPr>
                <w:rFonts w:hint="eastAsia" w:asciiTheme="majorEastAsia" w:hAnsiTheme="majorEastAsia" w:eastAsiaTheme="majorEastAsia" w:cstheme="majorEastAsia"/>
                <w:strike w:val="0"/>
                <w:dstrike w:val="0"/>
                <w:color w:val="auto"/>
                <w:kern w:val="0"/>
                <w:sz w:val="21"/>
                <w:szCs w:val="21"/>
                <w:highlight w:val="none"/>
              </w:rPr>
              <w:t>新增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961" w:hRule="atLeast"/>
          <w:jc w:val="center"/>
        </w:trPr>
        <w:tc>
          <w:tcPr>
            <w:tcW w:w="1174" w:type="dxa"/>
            <w:vMerge w:val="continue"/>
            <w:tcBorders>
              <w:tl2br w:val="nil"/>
              <w:tr2bl w:val="nil"/>
            </w:tcBorders>
            <w:textDirection w:val="tbRlV"/>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p>
        </w:tc>
        <w:tc>
          <w:tcPr>
            <w:tcW w:w="887"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掘进机械化</w:t>
            </w:r>
          </w:p>
        </w:tc>
        <w:tc>
          <w:tcPr>
            <w:tcW w:w="5056"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1.煤巷、半煤岩巷和条件适宜的岩巷宜采用综合机械化掘进，</w:t>
            </w:r>
            <w:r>
              <w:rPr>
                <w:rFonts w:hint="eastAsia" w:asciiTheme="majorEastAsia" w:hAnsiTheme="majorEastAsia" w:eastAsiaTheme="majorEastAsia" w:cstheme="majorEastAsia"/>
                <w:strike w:val="0"/>
                <w:dstrike w:val="0"/>
                <w:color w:val="0070C0"/>
                <w:kern w:val="0"/>
                <w:sz w:val="21"/>
                <w:szCs w:val="21"/>
                <w:highlight w:val="none"/>
              </w:rPr>
              <w:t>掘进机械化程度不低于75%</w:t>
            </w:r>
            <w:r>
              <w:rPr>
                <w:rFonts w:hint="eastAsia" w:asciiTheme="majorEastAsia" w:hAnsiTheme="majorEastAsia" w:eastAsiaTheme="majorEastAsia" w:cstheme="majorEastAsia"/>
                <w:strike w:val="0"/>
                <w:dstrike w:val="0"/>
                <w:kern w:val="0"/>
                <w:sz w:val="21"/>
                <w:szCs w:val="21"/>
                <w:highlight w:val="none"/>
              </w:rPr>
              <w:t>；</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2.采用机械化装、运煤（矸）；</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3.材料、设备采用机械运输，人工运料距离不超过300m</w:t>
            </w:r>
          </w:p>
        </w:tc>
        <w:tc>
          <w:tcPr>
            <w:tcW w:w="4225"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1.煤巷、半煤岩巷综合机械化程度不低于50%；</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2.条件适宜的岩巷宜采用综合机械化掘进；</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3.采用机械装、运煤（矸）；</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4.材料、设备采用机械运输，人工运料距离不超过300m</w:t>
            </w: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928" w:hRule="atLeast"/>
          <w:jc w:val="center"/>
        </w:trPr>
        <w:tc>
          <w:tcPr>
            <w:tcW w:w="1174" w:type="dxa"/>
            <w:vMerge w:val="continue"/>
            <w:tcBorders>
              <w:tl2br w:val="nil"/>
              <w:tr2bl w:val="nil"/>
            </w:tcBorders>
            <w:textDirection w:val="tbRlV"/>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p>
        </w:tc>
        <w:tc>
          <w:tcPr>
            <w:tcW w:w="887"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劳动组织</w:t>
            </w:r>
          </w:p>
        </w:tc>
        <w:tc>
          <w:tcPr>
            <w:tcW w:w="5056"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p>
        </w:tc>
        <w:tc>
          <w:tcPr>
            <w:tcW w:w="4225"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color w:val="FF0000"/>
                <w:kern w:val="0"/>
                <w:sz w:val="21"/>
                <w:szCs w:val="21"/>
                <w:highlight w:val="none"/>
              </w:rPr>
            </w:pPr>
            <w:r>
              <w:rPr>
                <w:rFonts w:hint="eastAsia" w:asciiTheme="majorEastAsia" w:hAnsiTheme="majorEastAsia" w:eastAsiaTheme="majorEastAsia" w:cstheme="majorEastAsia"/>
                <w:strike w:val="0"/>
                <w:dstrike w:val="0"/>
                <w:color w:val="FF0000"/>
                <w:kern w:val="0"/>
                <w:sz w:val="21"/>
                <w:szCs w:val="21"/>
                <w:highlight w:val="none"/>
              </w:rPr>
              <w:t>1.掘进作业应按循环作业图表施工；</w:t>
            </w:r>
          </w:p>
          <w:p>
            <w:pPr>
              <w:adjustRightInd w:val="0"/>
              <w:snapToGrid w:val="0"/>
              <w:rPr>
                <w:rFonts w:hint="eastAsia" w:asciiTheme="majorEastAsia" w:hAnsiTheme="majorEastAsia" w:eastAsiaTheme="majorEastAsia" w:cstheme="majorEastAsia"/>
                <w:strike w:val="0"/>
                <w:dstrike w:val="0"/>
                <w:color w:val="FF0000"/>
                <w:kern w:val="0"/>
                <w:sz w:val="21"/>
                <w:szCs w:val="21"/>
                <w:highlight w:val="none"/>
              </w:rPr>
            </w:pPr>
            <w:r>
              <w:rPr>
                <w:rFonts w:hint="eastAsia" w:asciiTheme="majorEastAsia" w:hAnsiTheme="majorEastAsia" w:eastAsiaTheme="majorEastAsia" w:cstheme="majorEastAsia"/>
                <w:strike w:val="0"/>
                <w:dstrike w:val="0"/>
                <w:color w:val="FF0000"/>
                <w:kern w:val="0"/>
                <w:sz w:val="21"/>
                <w:szCs w:val="21"/>
                <w:highlight w:val="none"/>
              </w:rPr>
              <w:t>2.完成考核周期内进尺计划；</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color w:val="FF0000"/>
                <w:kern w:val="0"/>
                <w:sz w:val="21"/>
                <w:szCs w:val="21"/>
                <w:highlight w:val="none"/>
              </w:rPr>
              <w:t>3.掘进队伍工种配备满足作业要求</w:t>
            </w: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r>
              <w:rPr>
                <w:rFonts w:hint="eastAsia" w:asciiTheme="majorEastAsia" w:hAnsiTheme="majorEastAsia" w:eastAsiaTheme="majorEastAsia" w:cstheme="majorEastAsia"/>
                <w:strike w:val="0"/>
                <w:dstrike w:val="0"/>
                <w:color w:val="auto"/>
                <w:kern w:val="0"/>
                <w:sz w:val="21"/>
                <w:szCs w:val="21"/>
                <w:highlight w:val="none"/>
              </w:rPr>
              <w:t>删除</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961" w:hRule="atLeast"/>
          <w:jc w:val="center"/>
        </w:trPr>
        <w:tc>
          <w:tcPr>
            <w:tcW w:w="1174" w:type="dxa"/>
            <w:vMerge w:val="restart"/>
            <w:tcBorders>
              <w:tl2br w:val="nil"/>
              <w:tr2bl w:val="nil"/>
            </w:tcBorders>
            <w:textDirection w:val="tbRlV"/>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二、质量与安全（53分）</w:t>
            </w:r>
          </w:p>
        </w:tc>
        <w:tc>
          <w:tcPr>
            <w:tcW w:w="887" w:type="dxa"/>
            <w:vMerge w:val="restart"/>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规格质量</w:t>
            </w:r>
          </w:p>
        </w:tc>
        <w:tc>
          <w:tcPr>
            <w:tcW w:w="5056"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巷道净宽偏差符合以下要求：锚网（索）、锚喷巷道有中线的0～100mm，无中线的-50～200mm；刚性支架、</w:t>
            </w:r>
            <w:r>
              <w:rPr>
                <w:rFonts w:hint="eastAsia" w:asciiTheme="majorEastAsia" w:hAnsiTheme="majorEastAsia" w:eastAsiaTheme="majorEastAsia" w:cstheme="majorEastAsia"/>
                <w:strike w:val="0"/>
                <w:dstrike w:val="0"/>
                <w:color w:val="0070C0"/>
                <w:kern w:val="0"/>
                <w:sz w:val="21"/>
                <w:szCs w:val="21"/>
                <w:highlight w:val="none"/>
              </w:rPr>
              <w:t>砌块、</w:t>
            </w:r>
            <w:r>
              <w:rPr>
                <w:rFonts w:hint="eastAsia" w:asciiTheme="majorEastAsia" w:hAnsiTheme="majorEastAsia" w:eastAsiaTheme="majorEastAsia" w:cstheme="majorEastAsia"/>
                <w:strike w:val="0"/>
                <w:dstrike w:val="0"/>
                <w:kern w:val="0"/>
                <w:sz w:val="21"/>
                <w:szCs w:val="21"/>
                <w:highlight w:val="none"/>
              </w:rPr>
              <w:t>混凝土与钢筋混凝土巷道有中线的0～50mm，无中线的-30～</w:t>
            </w:r>
            <w:r>
              <w:rPr>
                <w:rFonts w:hint="eastAsia" w:asciiTheme="majorEastAsia" w:hAnsiTheme="majorEastAsia" w:eastAsiaTheme="majorEastAsia" w:cstheme="majorEastAsia"/>
                <w:strike w:val="0"/>
                <w:dstrike w:val="0"/>
                <w:color w:val="FF0000"/>
                <w:kern w:val="0"/>
                <w:sz w:val="21"/>
                <w:szCs w:val="21"/>
                <w:highlight w:val="none"/>
              </w:rPr>
              <w:t>50</w:t>
            </w:r>
            <w:r>
              <w:rPr>
                <w:rFonts w:hint="eastAsia" w:asciiTheme="majorEastAsia" w:hAnsiTheme="majorEastAsia" w:eastAsiaTheme="majorEastAsia" w:cstheme="majorEastAsia"/>
                <w:strike w:val="0"/>
                <w:dstrike w:val="0"/>
                <w:kern w:val="0"/>
                <w:sz w:val="21"/>
                <w:szCs w:val="21"/>
                <w:highlight w:val="none"/>
              </w:rPr>
              <w:t>mm；</w:t>
            </w:r>
            <w:r>
              <w:rPr>
                <w:rFonts w:hint="eastAsia" w:asciiTheme="majorEastAsia" w:hAnsiTheme="majorEastAsia" w:eastAsiaTheme="majorEastAsia" w:cstheme="majorEastAsia"/>
                <w:strike w:val="0"/>
                <w:dstrike w:val="0"/>
                <w:color w:val="0070C0"/>
                <w:kern w:val="0"/>
                <w:sz w:val="21"/>
                <w:szCs w:val="21"/>
                <w:highlight w:val="none"/>
              </w:rPr>
              <w:t>钢架喷射混凝土、</w:t>
            </w:r>
            <w:r>
              <w:rPr>
                <w:rFonts w:hint="eastAsia" w:asciiTheme="majorEastAsia" w:hAnsiTheme="majorEastAsia" w:eastAsiaTheme="majorEastAsia" w:cstheme="majorEastAsia"/>
                <w:strike w:val="0"/>
                <w:dstrike w:val="0"/>
                <w:kern w:val="0"/>
                <w:sz w:val="21"/>
                <w:szCs w:val="21"/>
                <w:highlight w:val="none"/>
              </w:rPr>
              <w:t>可缩性支架巷道有中线的0～100mm，无中线的-50～100mm</w:t>
            </w:r>
          </w:p>
        </w:tc>
        <w:tc>
          <w:tcPr>
            <w:tcW w:w="4225"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1.巷道净宽偏差符合以下要求：锚网（索）、锚喷、</w:t>
            </w:r>
            <w:r>
              <w:rPr>
                <w:rFonts w:hint="eastAsia" w:asciiTheme="majorEastAsia" w:hAnsiTheme="majorEastAsia" w:eastAsiaTheme="majorEastAsia" w:cstheme="majorEastAsia"/>
                <w:strike w:val="0"/>
                <w:dstrike w:val="0"/>
                <w:color w:val="FF0000"/>
                <w:kern w:val="0"/>
                <w:sz w:val="21"/>
                <w:szCs w:val="21"/>
                <w:highlight w:val="none"/>
              </w:rPr>
              <w:t>钢架喷射混凝土巷道</w:t>
            </w:r>
            <w:r>
              <w:rPr>
                <w:rFonts w:hint="eastAsia" w:asciiTheme="majorEastAsia" w:hAnsiTheme="majorEastAsia" w:eastAsiaTheme="majorEastAsia" w:cstheme="majorEastAsia"/>
                <w:strike w:val="0"/>
                <w:dstrike w:val="0"/>
                <w:kern w:val="0"/>
                <w:sz w:val="21"/>
                <w:szCs w:val="21"/>
                <w:highlight w:val="none"/>
              </w:rPr>
              <w:t>有中线的0～100mm，无中线的-50～200mm；刚性支架、</w:t>
            </w:r>
            <w:r>
              <w:rPr>
                <w:rFonts w:hint="eastAsia" w:asciiTheme="majorEastAsia" w:hAnsiTheme="majorEastAsia" w:eastAsiaTheme="majorEastAsia" w:cstheme="majorEastAsia"/>
                <w:strike w:val="0"/>
                <w:dstrike w:val="0"/>
                <w:color w:val="FF0000"/>
                <w:kern w:val="0"/>
                <w:sz w:val="21"/>
                <w:szCs w:val="21"/>
                <w:highlight w:val="none"/>
              </w:rPr>
              <w:t>预制混凝土块、钢筋混凝土弧板、</w:t>
            </w:r>
            <w:r>
              <w:rPr>
                <w:rFonts w:hint="eastAsia" w:asciiTheme="majorEastAsia" w:hAnsiTheme="majorEastAsia" w:eastAsiaTheme="majorEastAsia" w:cstheme="majorEastAsia"/>
                <w:strike w:val="0"/>
                <w:dstrike w:val="0"/>
                <w:kern w:val="0"/>
                <w:sz w:val="21"/>
                <w:szCs w:val="21"/>
                <w:highlight w:val="none"/>
              </w:rPr>
              <w:t>钢筋混凝土巷道有中线的0～50mm，无中线的-30～</w:t>
            </w:r>
            <w:r>
              <w:rPr>
                <w:rFonts w:hint="eastAsia" w:asciiTheme="majorEastAsia" w:hAnsiTheme="majorEastAsia" w:eastAsiaTheme="majorEastAsia" w:cstheme="majorEastAsia"/>
                <w:strike w:val="0"/>
                <w:dstrike w:val="0"/>
                <w:color w:val="FF0000"/>
                <w:kern w:val="0"/>
                <w:sz w:val="21"/>
                <w:szCs w:val="21"/>
                <w:highlight w:val="none"/>
              </w:rPr>
              <w:t>80mm</w:t>
            </w:r>
            <w:r>
              <w:rPr>
                <w:rFonts w:hint="eastAsia" w:asciiTheme="majorEastAsia" w:hAnsiTheme="majorEastAsia" w:eastAsiaTheme="majorEastAsia" w:cstheme="majorEastAsia"/>
                <w:strike w:val="0"/>
                <w:dstrike w:val="0"/>
                <w:kern w:val="0"/>
                <w:sz w:val="21"/>
                <w:szCs w:val="21"/>
                <w:highlight w:val="none"/>
              </w:rPr>
              <w:t>；可缩性支架巷道有中线的0～100mm，无中线的-50～100mm</w:t>
            </w: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17" w:hRule="atLeast"/>
          <w:jc w:val="center"/>
        </w:trPr>
        <w:tc>
          <w:tcPr>
            <w:tcW w:w="1174" w:type="dxa"/>
            <w:vMerge w:val="continue"/>
            <w:tcBorders>
              <w:tl2br w:val="nil"/>
              <w:tr2bl w:val="nil"/>
            </w:tcBorders>
            <w:vAlign w:val="center"/>
          </w:tcPr>
          <w:p>
            <w:pPr>
              <w:widowControl/>
              <w:jc w:val="left"/>
              <w:rPr>
                <w:rFonts w:hint="eastAsia" w:asciiTheme="majorEastAsia" w:hAnsiTheme="majorEastAsia" w:eastAsiaTheme="majorEastAsia" w:cstheme="majorEastAsia"/>
                <w:strike w:val="0"/>
                <w:dstrike w:val="0"/>
                <w:kern w:val="0"/>
                <w:sz w:val="21"/>
                <w:szCs w:val="21"/>
                <w:highlight w:val="none"/>
              </w:rPr>
            </w:pPr>
          </w:p>
        </w:tc>
        <w:tc>
          <w:tcPr>
            <w:tcW w:w="887" w:type="dxa"/>
            <w:vMerge w:val="continue"/>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p>
        </w:tc>
        <w:tc>
          <w:tcPr>
            <w:tcW w:w="5056"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巷道净高偏差符合以下要求：锚网（索）、锚喷巷道有腰线的0～100mm，无腰线的-50～200mm；刚性支架、</w:t>
            </w:r>
            <w:r>
              <w:rPr>
                <w:rFonts w:hint="eastAsia" w:asciiTheme="majorEastAsia" w:hAnsiTheme="majorEastAsia" w:eastAsiaTheme="majorEastAsia" w:cstheme="majorEastAsia"/>
                <w:strike w:val="0"/>
                <w:dstrike w:val="0"/>
                <w:color w:val="0070C0"/>
                <w:kern w:val="0"/>
                <w:sz w:val="21"/>
                <w:szCs w:val="21"/>
                <w:highlight w:val="none"/>
              </w:rPr>
              <w:t>砌块</w:t>
            </w:r>
            <w:r>
              <w:rPr>
                <w:rFonts w:hint="eastAsia" w:asciiTheme="majorEastAsia" w:hAnsiTheme="majorEastAsia" w:eastAsiaTheme="majorEastAsia" w:cstheme="majorEastAsia"/>
                <w:strike w:val="0"/>
                <w:dstrike w:val="0"/>
                <w:kern w:val="0"/>
                <w:sz w:val="21"/>
                <w:szCs w:val="21"/>
                <w:highlight w:val="none"/>
              </w:rPr>
              <w:t>、</w:t>
            </w:r>
            <w:r>
              <w:rPr>
                <w:rFonts w:hint="eastAsia" w:asciiTheme="majorEastAsia" w:hAnsiTheme="majorEastAsia" w:eastAsiaTheme="majorEastAsia" w:cstheme="majorEastAsia"/>
                <w:strike w:val="0"/>
                <w:dstrike w:val="0"/>
                <w:color w:val="0070C0"/>
                <w:kern w:val="0"/>
                <w:sz w:val="21"/>
                <w:szCs w:val="21"/>
                <w:highlight w:val="none"/>
              </w:rPr>
              <w:t>混凝土与钢筋混凝土巷道</w:t>
            </w:r>
            <w:r>
              <w:rPr>
                <w:rFonts w:hint="eastAsia" w:asciiTheme="majorEastAsia" w:hAnsiTheme="majorEastAsia" w:eastAsiaTheme="majorEastAsia" w:cstheme="majorEastAsia"/>
                <w:strike w:val="0"/>
                <w:dstrike w:val="0"/>
                <w:kern w:val="0"/>
                <w:sz w:val="21"/>
                <w:szCs w:val="21"/>
                <w:highlight w:val="none"/>
              </w:rPr>
              <w:t>有腰线的-30～50mm，无腰线的-30～50mm；钢架喷射混凝土、可缩性支架巷道有腰线的-30～100mm，无腰线的-30～100mm</w:t>
            </w:r>
          </w:p>
        </w:tc>
        <w:tc>
          <w:tcPr>
            <w:tcW w:w="4225"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2.巷道净高偏差符合以下要求：锚网背（索）、锚喷巷道有腰线的0～100mm，无腰线的-50～200mm；刚性支架巷道有腰线的-30～50mm，无腰线的-30～50mm；钢架喷射混凝土、可缩性支架巷道-30～100mm；</w:t>
            </w:r>
            <w:r>
              <w:rPr>
                <w:rFonts w:hint="eastAsia" w:asciiTheme="majorEastAsia" w:hAnsiTheme="majorEastAsia" w:eastAsiaTheme="majorEastAsia" w:cstheme="majorEastAsia"/>
                <w:strike w:val="0"/>
                <w:dstrike w:val="0"/>
                <w:color w:val="FF0000"/>
                <w:kern w:val="0"/>
                <w:sz w:val="21"/>
                <w:szCs w:val="21"/>
                <w:highlight w:val="none"/>
              </w:rPr>
              <w:t>裸体巷道有腰线的0～150mm，</w:t>
            </w:r>
            <w:r>
              <w:rPr>
                <w:rFonts w:hint="eastAsia" w:asciiTheme="majorEastAsia" w:hAnsiTheme="majorEastAsia" w:eastAsiaTheme="majorEastAsia" w:cstheme="majorEastAsia"/>
                <w:strike w:val="0"/>
                <w:dstrike w:val="0"/>
                <w:kern w:val="0"/>
                <w:sz w:val="21"/>
                <w:szCs w:val="21"/>
                <w:highlight w:val="none"/>
              </w:rPr>
              <w:t>无腰线的-30～200mm；</w:t>
            </w:r>
            <w:r>
              <w:rPr>
                <w:rFonts w:hint="eastAsia" w:asciiTheme="majorEastAsia" w:hAnsiTheme="majorEastAsia" w:eastAsiaTheme="majorEastAsia" w:cstheme="majorEastAsia"/>
                <w:strike w:val="0"/>
                <w:dstrike w:val="0"/>
                <w:color w:val="FF0000"/>
                <w:kern w:val="0"/>
                <w:sz w:val="21"/>
                <w:szCs w:val="21"/>
                <w:highlight w:val="none"/>
              </w:rPr>
              <w:t>预制混凝土、钢筋混凝土弧板、钢筋混凝土有腰线的0～50mm，无腰线的-30～80mm</w:t>
            </w: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jc w:val="center"/>
        </w:trPr>
        <w:tc>
          <w:tcPr>
            <w:tcW w:w="1174" w:type="dxa"/>
            <w:vMerge w:val="continue"/>
            <w:tcBorders>
              <w:tl2br w:val="nil"/>
              <w:tr2bl w:val="nil"/>
            </w:tcBorders>
            <w:vAlign w:val="center"/>
          </w:tcPr>
          <w:p>
            <w:pPr>
              <w:widowControl/>
              <w:jc w:val="left"/>
              <w:rPr>
                <w:rFonts w:hint="eastAsia" w:asciiTheme="majorEastAsia" w:hAnsiTheme="majorEastAsia" w:eastAsiaTheme="majorEastAsia" w:cstheme="majorEastAsia"/>
                <w:strike w:val="0"/>
                <w:dstrike w:val="0"/>
                <w:kern w:val="0"/>
                <w:sz w:val="21"/>
                <w:szCs w:val="21"/>
                <w:highlight w:val="none"/>
              </w:rPr>
            </w:pPr>
          </w:p>
        </w:tc>
        <w:tc>
          <w:tcPr>
            <w:tcW w:w="887" w:type="dxa"/>
            <w:vMerge w:val="continue"/>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p>
        </w:tc>
        <w:tc>
          <w:tcPr>
            <w:tcW w:w="5056"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有坡度要求的巷道，坡度偏差不得超过±1‰</w:t>
            </w:r>
          </w:p>
        </w:tc>
        <w:tc>
          <w:tcPr>
            <w:tcW w:w="4225"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3.有坡度要求的巷道，坡度偏差不得超过±1‰</w:t>
            </w: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170" w:hRule="atLeast"/>
          <w:jc w:val="center"/>
        </w:trPr>
        <w:tc>
          <w:tcPr>
            <w:tcW w:w="1174" w:type="dxa"/>
            <w:vMerge w:val="continue"/>
            <w:tcBorders>
              <w:tl2br w:val="nil"/>
              <w:tr2bl w:val="nil"/>
            </w:tcBorders>
            <w:vAlign w:val="center"/>
          </w:tcPr>
          <w:p>
            <w:pPr>
              <w:widowControl/>
              <w:jc w:val="left"/>
              <w:rPr>
                <w:rFonts w:hint="eastAsia" w:asciiTheme="majorEastAsia" w:hAnsiTheme="majorEastAsia" w:eastAsiaTheme="majorEastAsia" w:cstheme="majorEastAsia"/>
                <w:strike w:val="0"/>
                <w:dstrike w:val="0"/>
                <w:kern w:val="0"/>
                <w:sz w:val="21"/>
                <w:szCs w:val="21"/>
                <w:highlight w:val="none"/>
              </w:rPr>
            </w:pPr>
          </w:p>
        </w:tc>
        <w:tc>
          <w:tcPr>
            <w:tcW w:w="887" w:type="dxa"/>
            <w:vMerge w:val="continue"/>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p>
        </w:tc>
        <w:tc>
          <w:tcPr>
            <w:tcW w:w="5056"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巷道水沟偏差应符合以下要求：中线至内沿距离-50～50mm，腰线至上沿距离-20～20mm，深度、宽度-30～30mm，壁厚-10mm</w:t>
            </w:r>
          </w:p>
        </w:tc>
        <w:tc>
          <w:tcPr>
            <w:tcW w:w="4225"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4.巷道水沟偏差应符合以下要求：中线至内沿距离-50～50mm，腰线至上沿距离-20～20mm，深度、宽度-30～30mm，壁厚-10mm</w:t>
            </w: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1174" w:type="dxa"/>
            <w:vMerge w:val="continue"/>
            <w:tcBorders>
              <w:tl2br w:val="nil"/>
              <w:tr2bl w:val="nil"/>
            </w:tcBorders>
            <w:vAlign w:val="center"/>
          </w:tcPr>
          <w:p>
            <w:pPr>
              <w:widowControl/>
              <w:jc w:val="left"/>
              <w:rPr>
                <w:rFonts w:hint="eastAsia" w:asciiTheme="majorEastAsia" w:hAnsiTheme="majorEastAsia" w:eastAsiaTheme="majorEastAsia" w:cstheme="majorEastAsia"/>
                <w:strike w:val="0"/>
                <w:dstrike w:val="0"/>
                <w:kern w:val="0"/>
                <w:sz w:val="21"/>
                <w:szCs w:val="21"/>
                <w:highlight w:val="none"/>
              </w:rPr>
            </w:pPr>
          </w:p>
        </w:tc>
        <w:tc>
          <w:tcPr>
            <w:tcW w:w="887" w:type="dxa"/>
            <w:vMerge w:val="restart"/>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内在质量</w:t>
            </w:r>
          </w:p>
        </w:tc>
        <w:tc>
          <w:tcPr>
            <w:tcW w:w="5056"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锚喷巷道喷层厚度不低于设计值90%（现场每25m打一组观测孔，一组观测孔至少3个且均匀布置），喷射混凝土的强度符合设计要求，基础深度不小于设计值的90%</w:t>
            </w:r>
          </w:p>
        </w:tc>
        <w:tc>
          <w:tcPr>
            <w:tcW w:w="4225"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1.锚喷巷道喷层厚度不低于设计值90%（现场每25m打一组观测孔，一组观测孔至少3个且均匀布置），喷射混凝土的强度符合设计要求，基础深度不小于设计值的90%</w:t>
            </w: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408" w:hRule="atLeast"/>
          <w:jc w:val="center"/>
        </w:trPr>
        <w:tc>
          <w:tcPr>
            <w:tcW w:w="1174" w:type="dxa"/>
            <w:vMerge w:val="continue"/>
            <w:tcBorders>
              <w:tl2br w:val="nil"/>
              <w:tr2bl w:val="nil"/>
            </w:tcBorders>
            <w:vAlign w:val="center"/>
          </w:tcPr>
          <w:p>
            <w:pPr>
              <w:widowControl/>
              <w:jc w:val="left"/>
              <w:rPr>
                <w:rFonts w:hint="eastAsia" w:asciiTheme="majorEastAsia" w:hAnsiTheme="majorEastAsia" w:eastAsiaTheme="majorEastAsia" w:cstheme="majorEastAsia"/>
                <w:strike w:val="0"/>
                <w:dstrike w:val="0"/>
                <w:kern w:val="0"/>
                <w:sz w:val="21"/>
                <w:szCs w:val="21"/>
                <w:highlight w:val="none"/>
              </w:rPr>
            </w:pPr>
          </w:p>
        </w:tc>
        <w:tc>
          <w:tcPr>
            <w:tcW w:w="887" w:type="dxa"/>
            <w:vMerge w:val="continue"/>
            <w:tcBorders>
              <w:tl2br w:val="nil"/>
              <w:tr2bl w:val="nil"/>
            </w:tcBorders>
            <w:vAlign w:val="center"/>
          </w:tcPr>
          <w:p>
            <w:pPr>
              <w:widowControl/>
              <w:jc w:val="left"/>
              <w:rPr>
                <w:rFonts w:hint="eastAsia" w:asciiTheme="majorEastAsia" w:hAnsiTheme="majorEastAsia" w:eastAsiaTheme="majorEastAsia" w:cstheme="majorEastAsia"/>
                <w:strike w:val="0"/>
                <w:dstrike w:val="0"/>
                <w:kern w:val="0"/>
                <w:sz w:val="21"/>
                <w:szCs w:val="21"/>
                <w:highlight w:val="none"/>
              </w:rPr>
            </w:pPr>
          </w:p>
        </w:tc>
        <w:tc>
          <w:tcPr>
            <w:tcW w:w="5056"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p>
        </w:tc>
        <w:tc>
          <w:tcPr>
            <w:tcW w:w="4225"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color w:val="FF0000"/>
                <w:kern w:val="0"/>
                <w:sz w:val="21"/>
                <w:szCs w:val="21"/>
                <w:highlight w:val="none"/>
              </w:rPr>
              <w:t>2.光面爆破眼痕率符合以下要求：硬岩不小于80%、中硬岩不小于50%、软岩周边成型符合设计轮廓；煤巷、半煤岩巷道超（欠）挖不超过3处（直径大于500mm，深度：顶大于250mm、帮大于200mm）</w:t>
            </w: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r>
              <w:rPr>
                <w:rFonts w:hint="eastAsia" w:asciiTheme="majorEastAsia" w:hAnsiTheme="majorEastAsia" w:eastAsiaTheme="majorEastAsia" w:cstheme="majorEastAsia"/>
                <w:strike w:val="0"/>
                <w:dstrike w:val="0"/>
                <w:color w:val="auto"/>
                <w:kern w:val="0"/>
                <w:sz w:val="21"/>
                <w:szCs w:val="21"/>
                <w:highlight w:val="none"/>
              </w:rPr>
              <w:t>删除</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39" w:hRule="atLeast"/>
          <w:jc w:val="center"/>
        </w:trPr>
        <w:tc>
          <w:tcPr>
            <w:tcW w:w="1174" w:type="dxa"/>
            <w:vMerge w:val="continue"/>
            <w:tcBorders>
              <w:tl2br w:val="nil"/>
              <w:tr2bl w:val="nil"/>
            </w:tcBorders>
            <w:vAlign w:val="center"/>
          </w:tcPr>
          <w:p>
            <w:pPr>
              <w:widowControl/>
              <w:jc w:val="left"/>
              <w:rPr>
                <w:rFonts w:hint="eastAsia" w:asciiTheme="majorEastAsia" w:hAnsiTheme="majorEastAsia" w:eastAsiaTheme="majorEastAsia" w:cstheme="majorEastAsia"/>
                <w:strike w:val="0"/>
                <w:dstrike w:val="0"/>
                <w:kern w:val="0"/>
                <w:sz w:val="21"/>
                <w:szCs w:val="21"/>
                <w:highlight w:val="none"/>
              </w:rPr>
            </w:pPr>
          </w:p>
        </w:tc>
        <w:tc>
          <w:tcPr>
            <w:tcW w:w="887" w:type="dxa"/>
            <w:vMerge w:val="continue"/>
            <w:tcBorders>
              <w:tl2br w:val="nil"/>
              <w:tr2bl w:val="nil"/>
            </w:tcBorders>
            <w:vAlign w:val="center"/>
          </w:tcPr>
          <w:p>
            <w:pPr>
              <w:widowControl/>
              <w:jc w:val="left"/>
              <w:rPr>
                <w:rFonts w:hint="eastAsia" w:asciiTheme="majorEastAsia" w:hAnsiTheme="majorEastAsia" w:eastAsiaTheme="majorEastAsia" w:cstheme="majorEastAsia"/>
                <w:strike w:val="0"/>
                <w:dstrike w:val="0"/>
                <w:kern w:val="0"/>
                <w:sz w:val="21"/>
                <w:szCs w:val="21"/>
                <w:highlight w:val="none"/>
              </w:rPr>
            </w:pPr>
          </w:p>
        </w:tc>
        <w:tc>
          <w:tcPr>
            <w:tcW w:w="5056"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锚网索巷道锚杆（索）安装、扭矩、拉拔力、网的铺设连接符合设计要求，锚杆（索）的间、排距偏差-100～100mm，锚杆露出螺母长度10～50mm（全螺纹锚杆10～100mm），锚索露出锁具长度150～300mm，</w:t>
            </w:r>
            <w:r>
              <w:rPr>
                <w:rFonts w:hint="eastAsia" w:asciiTheme="majorEastAsia" w:hAnsiTheme="majorEastAsia" w:eastAsiaTheme="majorEastAsia" w:cstheme="majorEastAsia"/>
                <w:strike w:val="0"/>
                <w:dstrike w:val="0"/>
                <w:color w:val="0070C0"/>
                <w:kern w:val="0"/>
                <w:sz w:val="21"/>
                <w:szCs w:val="21"/>
                <w:highlight w:val="none"/>
              </w:rPr>
              <w:t>锚杆角度与设计偏差不大于5°</w:t>
            </w:r>
            <w:r>
              <w:rPr>
                <w:rFonts w:hint="eastAsia" w:asciiTheme="majorEastAsia" w:hAnsiTheme="majorEastAsia" w:eastAsiaTheme="majorEastAsia" w:cstheme="majorEastAsia"/>
                <w:strike w:val="0"/>
                <w:dstrike w:val="0"/>
                <w:kern w:val="0"/>
                <w:sz w:val="21"/>
                <w:szCs w:val="21"/>
                <w:highlight w:val="none"/>
              </w:rPr>
              <w:t>，预应力不小于设计值的90%，</w:t>
            </w:r>
            <w:r>
              <w:rPr>
                <w:rFonts w:hint="eastAsia" w:asciiTheme="majorEastAsia" w:hAnsiTheme="majorEastAsia" w:eastAsiaTheme="majorEastAsia" w:cstheme="majorEastAsia"/>
                <w:strike w:val="0"/>
                <w:dstrike w:val="0"/>
                <w:color w:val="0070C0"/>
                <w:kern w:val="0"/>
                <w:sz w:val="21"/>
                <w:szCs w:val="21"/>
                <w:highlight w:val="none"/>
                <w:shd w:val="clear" w:color="auto" w:fill="FFFFFF" w:themeFill="background1"/>
              </w:rPr>
              <w:t>拉拔力值不小于设计锚固力值</w:t>
            </w:r>
          </w:p>
        </w:tc>
        <w:tc>
          <w:tcPr>
            <w:tcW w:w="4225"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3.锚网索巷道锚杆（索）安装、扭矩、拉拔力、网的铺设连接符合设计要求，锚杆（索）的间、排距偏差-100～100mm，锚杆露出螺母长度10～50mm（全螺纹锚杆10～100mm），锚索露出锁具长度</w:t>
            </w:r>
            <w:r>
              <w:rPr>
                <w:rFonts w:hint="eastAsia" w:asciiTheme="majorEastAsia" w:hAnsiTheme="majorEastAsia" w:eastAsiaTheme="majorEastAsia" w:cstheme="majorEastAsia"/>
                <w:strike w:val="0"/>
                <w:dstrike w:val="0"/>
                <w:color w:val="FF0000"/>
                <w:kern w:val="0"/>
                <w:sz w:val="21"/>
                <w:szCs w:val="21"/>
                <w:highlight w:val="none"/>
              </w:rPr>
              <w:t>150～250mm</w:t>
            </w:r>
            <w:r>
              <w:rPr>
                <w:rFonts w:hint="eastAsia" w:asciiTheme="majorEastAsia" w:hAnsiTheme="majorEastAsia" w:eastAsiaTheme="majorEastAsia" w:cstheme="majorEastAsia"/>
                <w:strike w:val="0"/>
                <w:dstrike w:val="0"/>
                <w:kern w:val="0"/>
                <w:sz w:val="21"/>
                <w:szCs w:val="21"/>
                <w:highlight w:val="none"/>
              </w:rPr>
              <w:t>，</w:t>
            </w:r>
            <w:r>
              <w:rPr>
                <w:rFonts w:hint="eastAsia" w:asciiTheme="majorEastAsia" w:hAnsiTheme="majorEastAsia" w:eastAsiaTheme="majorEastAsia" w:cstheme="majorEastAsia"/>
                <w:strike w:val="0"/>
                <w:dstrike w:val="0"/>
                <w:color w:val="FF0000"/>
                <w:kern w:val="0"/>
                <w:sz w:val="21"/>
                <w:szCs w:val="21"/>
                <w:highlight w:val="none"/>
              </w:rPr>
              <w:t>锚杆与井巷轮廓线切线或与层理面、节理面、裂隙面垂直，最小不小于75°</w:t>
            </w:r>
            <w:r>
              <w:rPr>
                <w:rFonts w:hint="eastAsia" w:asciiTheme="majorEastAsia" w:hAnsiTheme="majorEastAsia" w:eastAsiaTheme="majorEastAsia" w:cstheme="majorEastAsia"/>
                <w:strike w:val="0"/>
                <w:dstrike w:val="0"/>
                <w:kern w:val="0"/>
                <w:sz w:val="21"/>
                <w:szCs w:val="21"/>
                <w:highlight w:val="none"/>
              </w:rPr>
              <w:t>，预应力、</w:t>
            </w:r>
            <w:r>
              <w:rPr>
                <w:rFonts w:hint="eastAsia" w:asciiTheme="majorEastAsia" w:hAnsiTheme="majorEastAsia" w:eastAsiaTheme="majorEastAsia" w:cstheme="majorEastAsia"/>
                <w:strike w:val="0"/>
                <w:dstrike w:val="0"/>
                <w:color w:val="FF0000"/>
                <w:kern w:val="0"/>
                <w:sz w:val="21"/>
                <w:szCs w:val="21"/>
                <w:highlight w:val="none"/>
              </w:rPr>
              <w:t>拉拔力</w:t>
            </w:r>
            <w:r>
              <w:rPr>
                <w:rFonts w:hint="eastAsia" w:asciiTheme="majorEastAsia" w:hAnsiTheme="majorEastAsia" w:eastAsiaTheme="majorEastAsia" w:cstheme="majorEastAsia"/>
                <w:strike w:val="0"/>
                <w:dstrike w:val="0"/>
                <w:kern w:val="0"/>
                <w:sz w:val="21"/>
                <w:szCs w:val="21"/>
                <w:highlight w:val="none"/>
              </w:rPr>
              <w:t>不小于</w:t>
            </w:r>
            <w:r>
              <w:rPr>
                <w:rFonts w:hint="eastAsia" w:asciiTheme="majorEastAsia" w:hAnsiTheme="majorEastAsia" w:eastAsiaTheme="majorEastAsia" w:cstheme="majorEastAsia"/>
                <w:strike w:val="0"/>
                <w:dstrike w:val="0"/>
                <w:color w:val="FF0000"/>
                <w:kern w:val="0"/>
                <w:sz w:val="21"/>
                <w:szCs w:val="21"/>
                <w:highlight w:val="none"/>
              </w:rPr>
              <w:t>设计值的90%</w:t>
            </w: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17" w:hRule="atLeast"/>
          <w:jc w:val="center"/>
        </w:trPr>
        <w:tc>
          <w:tcPr>
            <w:tcW w:w="1174" w:type="dxa"/>
            <w:vMerge w:val="continue"/>
            <w:tcBorders>
              <w:tl2br w:val="nil"/>
              <w:tr2bl w:val="nil"/>
            </w:tcBorders>
            <w:vAlign w:val="center"/>
          </w:tcPr>
          <w:p>
            <w:pPr>
              <w:widowControl/>
              <w:jc w:val="left"/>
              <w:rPr>
                <w:rFonts w:hint="eastAsia" w:asciiTheme="majorEastAsia" w:hAnsiTheme="majorEastAsia" w:eastAsiaTheme="majorEastAsia" w:cstheme="majorEastAsia"/>
                <w:strike w:val="0"/>
                <w:dstrike w:val="0"/>
                <w:kern w:val="0"/>
                <w:sz w:val="21"/>
                <w:szCs w:val="21"/>
                <w:highlight w:val="none"/>
              </w:rPr>
            </w:pPr>
          </w:p>
        </w:tc>
        <w:tc>
          <w:tcPr>
            <w:tcW w:w="887" w:type="dxa"/>
            <w:vMerge w:val="continue"/>
            <w:tcBorders>
              <w:tl2br w:val="nil"/>
              <w:tr2bl w:val="nil"/>
            </w:tcBorders>
            <w:vAlign w:val="center"/>
          </w:tcPr>
          <w:p>
            <w:pPr>
              <w:widowControl/>
              <w:jc w:val="left"/>
              <w:rPr>
                <w:rFonts w:hint="eastAsia" w:asciiTheme="majorEastAsia" w:hAnsiTheme="majorEastAsia" w:eastAsiaTheme="majorEastAsia" w:cstheme="majorEastAsia"/>
                <w:strike w:val="0"/>
                <w:dstrike w:val="0"/>
                <w:kern w:val="0"/>
                <w:sz w:val="21"/>
                <w:szCs w:val="21"/>
                <w:highlight w:val="none"/>
              </w:rPr>
            </w:pPr>
          </w:p>
        </w:tc>
        <w:tc>
          <w:tcPr>
            <w:tcW w:w="5056"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钢架喷射混凝土、刚性支架、可缩性支架巷道偏差符合以下要求：支架间距不大于50mm、梁水平度不大于40mm、支架梁扭距不大于50mm、立柱斜度不大于1°，水平巷道支架前倾后仰不大于1°，柱窝深度不小于设计值；撑（或拉）杆、垫板、背板的位置、数量、安设形式符合要求；倾斜巷道每增加5°～8°，支架迎山角增加1°；</w:t>
            </w:r>
            <w:r>
              <w:rPr>
                <w:rFonts w:hint="eastAsia" w:asciiTheme="majorEastAsia" w:hAnsiTheme="majorEastAsia" w:eastAsiaTheme="majorEastAsia" w:cstheme="majorEastAsia"/>
                <w:strike w:val="0"/>
                <w:dstrike w:val="0"/>
                <w:color w:val="00B0F0"/>
                <w:kern w:val="0"/>
                <w:sz w:val="21"/>
                <w:szCs w:val="21"/>
                <w:highlight w:val="none"/>
              </w:rPr>
              <w:t>可缩性支架卡缆安设及螺栓扭矩符合作业规程规定</w:t>
            </w:r>
          </w:p>
        </w:tc>
        <w:tc>
          <w:tcPr>
            <w:tcW w:w="4225"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4.刚性支架、钢架喷射混凝土、可缩性支架巷道偏差符合以下要求：支架间距不大于50mm、梁水平度不大于40mm/m、支架梁扭距不大于50mm、立柱斜度不大于1°，水平巷道支架前倾后仰不大于1°，柱窝深度不小于设计值；撑（或拉）杆、垫板、背板的位置、数量、安设形式符合要求；倾斜巷道每增加5°～8°，支架迎山角增加1°</w:t>
            </w: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407" w:hRule="atLeast"/>
          <w:jc w:val="center"/>
        </w:trPr>
        <w:tc>
          <w:tcPr>
            <w:tcW w:w="1174" w:type="dxa"/>
            <w:vMerge w:val="continue"/>
            <w:tcBorders>
              <w:tl2br w:val="nil"/>
              <w:tr2bl w:val="nil"/>
            </w:tcBorders>
            <w:vAlign w:val="center"/>
          </w:tcPr>
          <w:p>
            <w:pPr>
              <w:widowControl/>
              <w:jc w:val="left"/>
              <w:rPr>
                <w:rFonts w:hint="eastAsia" w:asciiTheme="majorEastAsia" w:hAnsiTheme="majorEastAsia" w:eastAsiaTheme="majorEastAsia" w:cstheme="majorEastAsia"/>
                <w:strike w:val="0"/>
                <w:dstrike w:val="0"/>
                <w:kern w:val="0"/>
                <w:sz w:val="21"/>
                <w:szCs w:val="21"/>
                <w:highlight w:val="none"/>
              </w:rPr>
            </w:pPr>
          </w:p>
        </w:tc>
        <w:tc>
          <w:tcPr>
            <w:tcW w:w="887" w:type="dxa"/>
            <w:tcBorders>
              <w:tl2br w:val="nil"/>
              <w:tr2bl w:val="nil"/>
            </w:tcBorders>
            <w:vAlign w:val="center"/>
          </w:tcPr>
          <w:p>
            <w:pPr>
              <w:widowControl/>
              <w:jc w:val="left"/>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材料质量</w:t>
            </w:r>
          </w:p>
        </w:tc>
        <w:tc>
          <w:tcPr>
            <w:tcW w:w="5056"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p>
        </w:tc>
        <w:tc>
          <w:tcPr>
            <w:tcW w:w="4225"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color w:val="FF0000"/>
                <w:kern w:val="0"/>
                <w:sz w:val="21"/>
                <w:szCs w:val="21"/>
                <w:highlight w:val="none"/>
              </w:rPr>
            </w:pPr>
            <w:r>
              <w:rPr>
                <w:rFonts w:hint="eastAsia" w:asciiTheme="majorEastAsia" w:hAnsiTheme="majorEastAsia" w:eastAsiaTheme="majorEastAsia" w:cstheme="majorEastAsia"/>
                <w:strike w:val="0"/>
                <w:dstrike w:val="0"/>
                <w:color w:val="FF0000"/>
                <w:kern w:val="0"/>
                <w:sz w:val="21"/>
                <w:szCs w:val="21"/>
                <w:highlight w:val="none"/>
              </w:rPr>
              <w:t>1.各种支架及其构件、配件的材质、规格，以及背板和充填材质、规格符合设计要求；</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color w:val="FF0000"/>
                <w:kern w:val="0"/>
                <w:sz w:val="21"/>
                <w:szCs w:val="21"/>
                <w:highlight w:val="none"/>
              </w:rPr>
              <w:t>2.锚杆（索)的杆体及配件、网、锚固剂、喷浆材料等材质、品种、规格、强度等符合设计要求</w:t>
            </w: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r>
              <w:rPr>
                <w:rFonts w:hint="eastAsia" w:asciiTheme="majorEastAsia" w:hAnsiTheme="majorEastAsia" w:eastAsiaTheme="majorEastAsia" w:cstheme="majorEastAsia"/>
                <w:strike w:val="0"/>
                <w:dstrike w:val="0"/>
                <w:color w:val="auto"/>
                <w:kern w:val="0"/>
                <w:sz w:val="21"/>
                <w:szCs w:val="21"/>
                <w:highlight w:val="none"/>
              </w:rPr>
              <w:t>删除</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1174" w:type="dxa"/>
            <w:vMerge w:val="continue"/>
            <w:tcBorders>
              <w:tl2br w:val="nil"/>
              <w:tr2bl w:val="nil"/>
            </w:tcBorders>
            <w:vAlign w:val="center"/>
          </w:tcPr>
          <w:p>
            <w:pPr>
              <w:widowControl/>
              <w:jc w:val="left"/>
              <w:rPr>
                <w:rFonts w:hint="eastAsia" w:asciiTheme="majorEastAsia" w:hAnsiTheme="majorEastAsia" w:eastAsiaTheme="majorEastAsia" w:cstheme="majorEastAsia"/>
                <w:strike w:val="0"/>
                <w:dstrike w:val="0"/>
                <w:kern w:val="0"/>
                <w:sz w:val="21"/>
                <w:szCs w:val="21"/>
                <w:highlight w:val="none"/>
              </w:rPr>
            </w:pPr>
          </w:p>
        </w:tc>
        <w:tc>
          <w:tcPr>
            <w:tcW w:w="887" w:type="dxa"/>
            <w:vMerge w:val="restart"/>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安全管控</w:t>
            </w:r>
          </w:p>
        </w:tc>
        <w:tc>
          <w:tcPr>
            <w:tcW w:w="5056"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color w:val="0070C0"/>
                <w:kern w:val="0"/>
                <w:sz w:val="21"/>
                <w:szCs w:val="21"/>
                <w:highlight w:val="none"/>
              </w:rPr>
              <w:t>掘进迎头15m范围、耙矸机处、带式输送机头和机尾安装视频摄像头，视频有效监控作业区域</w:t>
            </w:r>
          </w:p>
        </w:tc>
        <w:tc>
          <w:tcPr>
            <w:tcW w:w="4225"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r>
              <w:rPr>
                <w:rFonts w:hint="eastAsia" w:asciiTheme="majorEastAsia" w:hAnsiTheme="majorEastAsia" w:eastAsiaTheme="majorEastAsia" w:cstheme="majorEastAsia"/>
                <w:strike w:val="0"/>
                <w:dstrike w:val="0"/>
                <w:color w:val="auto"/>
                <w:kern w:val="0"/>
                <w:sz w:val="21"/>
                <w:szCs w:val="21"/>
                <w:highlight w:val="none"/>
              </w:rPr>
              <w:t>新增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1174" w:type="dxa"/>
            <w:vMerge w:val="continue"/>
            <w:tcBorders>
              <w:tl2br w:val="nil"/>
              <w:tr2bl w:val="nil"/>
            </w:tcBorders>
            <w:vAlign w:val="center"/>
          </w:tcPr>
          <w:p>
            <w:pPr>
              <w:widowControl/>
              <w:jc w:val="left"/>
              <w:rPr>
                <w:rFonts w:hint="eastAsia" w:asciiTheme="majorEastAsia" w:hAnsiTheme="majorEastAsia" w:eastAsiaTheme="majorEastAsia" w:cstheme="majorEastAsia"/>
                <w:strike w:val="0"/>
                <w:dstrike w:val="0"/>
                <w:kern w:val="0"/>
                <w:sz w:val="21"/>
                <w:szCs w:val="21"/>
                <w:highlight w:val="none"/>
              </w:rPr>
            </w:pPr>
          </w:p>
        </w:tc>
        <w:tc>
          <w:tcPr>
            <w:tcW w:w="887" w:type="dxa"/>
            <w:vMerge w:val="continue"/>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p>
        </w:tc>
        <w:tc>
          <w:tcPr>
            <w:tcW w:w="5056" w:type="dxa"/>
            <w:vMerge w:val="restart"/>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建立工程质量考核验收制度；执行敲帮问顶制度，无空顶作业；永久支护距掘进工作面距离、临时支护、</w:t>
            </w:r>
            <w:r>
              <w:rPr>
                <w:rFonts w:hint="eastAsia" w:asciiTheme="majorEastAsia" w:hAnsiTheme="majorEastAsia" w:eastAsiaTheme="majorEastAsia" w:cstheme="majorEastAsia"/>
                <w:strike w:val="0"/>
                <w:dstrike w:val="0"/>
                <w:color w:val="0070C0"/>
                <w:kern w:val="0"/>
                <w:sz w:val="21"/>
                <w:szCs w:val="21"/>
                <w:highlight w:val="none"/>
              </w:rPr>
              <w:t>空顶距</w:t>
            </w:r>
            <w:r>
              <w:rPr>
                <w:rFonts w:hint="eastAsia" w:asciiTheme="majorEastAsia" w:hAnsiTheme="majorEastAsia" w:eastAsiaTheme="majorEastAsia" w:cstheme="majorEastAsia"/>
                <w:strike w:val="0"/>
                <w:dstrike w:val="0"/>
                <w:kern w:val="0"/>
                <w:sz w:val="21"/>
                <w:szCs w:val="21"/>
                <w:highlight w:val="none"/>
              </w:rPr>
              <w:t>、空帮距符合作业规程要求；</w:t>
            </w:r>
            <w:r>
              <w:rPr>
                <w:rFonts w:hint="eastAsia" w:asciiTheme="majorEastAsia" w:hAnsiTheme="majorEastAsia" w:eastAsiaTheme="majorEastAsia" w:cstheme="majorEastAsia"/>
                <w:strike w:val="0"/>
                <w:dstrike w:val="0"/>
                <w:color w:val="0070C0"/>
                <w:kern w:val="0"/>
                <w:sz w:val="21"/>
                <w:szCs w:val="21"/>
                <w:highlight w:val="none"/>
              </w:rPr>
              <w:t>在松软的煤（岩）层、流砂性地层或者破碎带中掘进有超前支护或者其他措施</w:t>
            </w:r>
          </w:p>
        </w:tc>
        <w:tc>
          <w:tcPr>
            <w:tcW w:w="4225"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color w:val="FF000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1.建立工程质量考核验收制度，</w:t>
            </w:r>
            <w:r>
              <w:rPr>
                <w:rFonts w:hint="eastAsia" w:asciiTheme="majorEastAsia" w:hAnsiTheme="majorEastAsia" w:eastAsiaTheme="majorEastAsia" w:cstheme="majorEastAsia"/>
                <w:strike w:val="0"/>
                <w:dstrike w:val="0"/>
                <w:color w:val="FF0000"/>
                <w:kern w:val="0"/>
                <w:sz w:val="21"/>
                <w:szCs w:val="21"/>
                <w:highlight w:val="none"/>
              </w:rPr>
              <w:t>各种检查有现场记录；</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color w:val="FF0000"/>
                <w:kern w:val="0"/>
                <w:sz w:val="21"/>
                <w:szCs w:val="21"/>
                <w:highlight w:val="none"/>
              </w:rPr>
              <w:t>2.有班组检查验收记录</w:t>
            </w:r>
          </w:p>
        </w:tc>
        <w:tc>
          <w:tcPr>
            <w:tcW w:w="2594" w:type="dxa"/>
            <w:vMerge w:val="restart"/>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685" w:hRule="atLeast"/>
          <w:jc w:val="center"/>
        </w:trPr>
        <w:tc>
          <w:tcPr>
            <w:tcW w:w="1174" w:type="dxa"/>
            <w:vMerge w:val="continue"/>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sz w:val="21"/>
                <w:szCs w:val="21"/>
                <w:highlight w:val="none"/>
              </w:rPr>
            </w:pPr>
          </w:p>
        </w:tc>
        <w:tc>
          <w:tcPr>
            <w:tcW w:w="887" w:type="dxa"/>
            <w:vMerge w:val="continue"/>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sz w:val="21"/>
                <w:szCs w:val="21"/>
                <w:highlight w:val="none"/>
              </w:rPr>
            </w:pPr>
          </w:p>
        </w:tc>
        <w:tc>
          <w:tcPr>
            <w:tcW w:w="5056" w:type="dxa"/>
            <w:vMerge w:val="continue"/>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sz w:val="21"/>
                <w:szCs w:val="21"/>
                <w:highlight w:val="none"/>
              </w:rPr>
            </w:pPr>
          </w:p>
        </w:tc>
        <w:tc>
          <w:tcPr>
            <w:tcW w:w="4225"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1.永久支护距掘进工作面距离符合作业规程规定；</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2.执行敲帮问顶制度，无空顶作业，空帮距离符合作业规程规定；</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color w:val="FF0000"/>
                <w:kern w:val="0"/>
                <w:sz w:val="21"/>
                <w:szCs w:val="21"/>
                <w:highlight w:val="none"/>
              </w:rPr>
              <w:t>3.临时支护形式、数量、安装质量符合作业规程要求；</w:t>
            </w:r>
          </w:p>
        </w:tc>
        <w:tc>
          <w:tcPr>
            <w:tcW w:w="2594" w:type="dxa"/>
            <w:vMerge w:val="continue"/>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5" w:hRule="atLeast"/>
          <w:jc w:val="center"/>
        </w:trPr>
        <w:tc>
          <w:tcPr>
            <w:tcW w:w="1174" w:type="dxa"/>
            <w:vMerge w:val="continue"/>
            <w:tcBorders>
              <w:tl2br w:val="nil"/>
              <w:tr2bl w:val="nil"/>
            </w:tcBorders>
            <w:vAlign w:val="center"/>
          </w:tcPr>
          <w:p>
            <w:pPr>
              <w:widowControl/>
              <w:jc w:val="left"/>
              <w:rPr>
                <w:rFonts w:hint="eastAsia" w:asciiTheme="majorEastAsia" w:hAnsiTheme="majorEastAsia" w:eastAsiaTheme="majorEastAsia" w:cstheme="majorEastAsia"/>
                <w:strike w:val="0"/>
                <w:dstrike w:val="0"/>
                <w:kern w:val="0"/>
                <w:sz w:val="21"/>
                <w:szCs w:val="21"/>
                <w:highlight w:val="none"/>
              </w:rPr>
            </w:pPr>
          </w:p>
        </w:tc>
        <w:tc>
          <w:tcPr>
            <w:tcW w:w="887" w:type="dxa"/>
            <w:vMerge w:val="continue"/>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p>
        </w:tc>
        <w:tc>
          <w:tcPr>
            <w:tcW w:w="5056"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架棚支护棚间装设有牢固的撑杆或拉杆，可缩性金属支架应用金属拉杆，距掘进工作面10m内架棚支护爆破前进行加固</w:t>
            </w:r>
          </w:p>
        </w:tc>
        <w:tc>
          <w:tcPr>
            <w:tcW w:w="4225"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4.架棚支护棚间装设有牢固的撑杆或拉杆，可缩性金属支架应用金属拉杆，距掘进工作面10m内架棚支护爆破前进行加固</w:t>
            </w: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5" w:hRule="atLeast"/>
          <w:jc w:val="center"/>
        </w:trPr>
        <w:tc>
          <w:tcPr>
            <w:tcW w:w="1174" w:type="dxa"/>
            <w:vMerge w:val="continue"/>
            <w:tcBorders>
              <w:tl2br w:val="nil"/>
              <w:tr2bl w:val="nil"/>
            </w:tcBorders>
            <w:vAlign w:val="center"/>
          </w:tcPr>
          <w:p>
            <w:pPr>
              <w:widowControl/>
              <w:jc w:val="left"/>
              <w:rPr>
                <w:rFonts w:hint="eastAsia" w:asciiTheme="majorEastAsia" w:hAnsiTheme="majorEastAsia" w:eastAsiaTheme="majorEastAsia" w:cstheme="majorEastAsia"/>
                <w:strike w:val="0"/>
                <w:dstrike w:val="0"/>
                <w:kern w:val="0"/>
                <w:sz w:val="21"/>
                <w:szCs w:val="21"/>
                <w:highlight w:val="none"/>
              </w:rPr>
            </w:pPr>
          </w:p>
        </w:tc>
        <w:tc>
          <w:tcPr>
            <w:tcW w:w="887" w:type="dxa"/>
            <w:vMerge w:val="continue"/>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p>
        </w:tc>
        <w:tc>
          <w:tcPr>
            <w:tcW w:w="5056"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p>
        </w:tc>
        <w:tc>
          <w:tcPr>
            <w:tcW w:w="4225"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color w:val="FF0000"/>
                <w:kern w:val="0"/>
                <w:sz w:val="21"/>
                <w:szCs w:val="21"/>
                <w:highlight w:val="none"/>
              </w:rPr>
            </w:pPr>
            <w:r>
              <w:rPr>
                <w:rFonts w:hint="eastAsia" w:asciiTheme="majorEastAsia" w:hAnsiTheme="majorEastAsia" w:eastAsiaTheme="majorEastAsia" w:cstheme="majorEastAsia"/>
                <w:strike w:val="0"/>
                <w:dstrike w:val="0"/>
                <w:color w:val="FF0000"/>
                <w:kern w:val="0"/>
                <w:sz w:val="21"/>
                <w:szCs w:val="21"/>
                <w:highlight w:val="none"/>
              </w:rPr>
              <w:t>5.无失修巷道，各种安全设施齐全可靠；</w:t>
            </w:r>
          </w:p>
          <w:p>
            <w:pPr>
              <w:adjustRightInd w:val="0"/>
              <w:snapToGrid w:val="0"/>
              <w:rPr>
                <w:rFonts w:hint="eastAsia" w:asciiTheme="majorEastAsia" w:hAnsiTheme="majorEastAsia" w:eastAsiaTheme="majorEastAsia" w:cstheme="majorEastAsia"/>
                <w:strike w:val="0"/>
                <w:dstrike w:val="0"/>
                <w:color w:val="FF0000"/>
                <w:kern w:val="0"/>
                <w:sz w:val="21"/>
                <w:szCs w:val="21"/>
                <w:highlight w:val="none"/>
              </w:rPr>
            </w:pPr>
            <w:r>
              <w:rPr>
                <w:rFonts w:hint="eastAsia" w:asciiTheme="majorEastAsia" w:hAnsiTheme="majorEastAsia" w:eastAsiaTheme="majorEastAsia" w:cstheme="majorEastAsia"/>
                <w:strike w:val="0"/>
                <w:dstrike w:val="0"/>
                <w:color w:val="FF0000"/>
                <w:kern w:val="0"/>
                <w:sz w:val="21"/>
                <w:szCs w:val="21"/>
                <w:highlight w:val="none"/>
              </w:rPr>
              <w:t>6.压风、供水系统压力等符合施工要求；</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color w:val="FF0000"/>
                <w:kern w:val="0"/>
                <w:sz w:val="21"/>
                <w:szCs w:val="21"/>
                <w:highlight w:val="none"/>
              </w:rPr>
              <w:t>7.掘进机装备机载支护装置</w:t>
            </w: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r>
              <w:rPr>
                <w:rFonts w:hint="eastAsia" w:asciiTheme="majorEastAsia" w:hAnsiTheme="majorEastAsia" w:eastAsiaTheme="majorEastAsia" w:cstheme="majorEastAsia"/>
                <w:strike w:val="0"/>
                <w:dstrike w:val="0"/>
                <w:color w:val="auto"/>
                <w:kern w:val="0"/>
                <w:sz w:val="21"/>
                <w:szCs w:val="21"/>
                <w:highlight w:val="none"/>
              </w:rPr>
              <w:t>删除</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5" w:hRule="atLeast"/>
          <w:jc w:val="center"/>
        </w:trPr>
        <w:tc>
          <w:tcPr>
            <w:tcW w:w="1174" w:type="dxa"/>
            <w:vMerge w:val="continue"/>
            <w:tcBorders>
              <w:tl2br w:val="nil"/>
              <w:tr2bl w:val="nil"/>
            </w:tcBorders>
            <w:vAlign w:val="center"/>
          </w:tcPr>
          <w:p>
            <w:pPr>
              <w:widowControl/>
              <w:jc w:val="left"/>
              <w:rPr>
                <w:rFonts w:hint="eastAsia" w:asciiTheme="majorEastAsia" w:hAnsiTheme="majorEastAsia" w:eastAsiaTheme="majorEastAsia" w:cstheme="majorEastAsia"/>
                <w:strike w:val="0"/>
                <w:dstrike w:val="0"/>
                <w:kern w:val="0"/>
                <w:sz w:val="21"/>
                <w:szCs w:val="21"/>
                <w:highlight w:val="none"/>
              </w:rPr>
            </w:pPr>
          </w:p>
        </w:tc>
        <w:tc>
          <w:tcPr>
            <w:tcW w:w="887" w:type="dxa"/>
            <w:vMerge w:val="continue"/>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p>
        </w:tc>
        <w:tc>
          <w:tcPr>
            <w:tcW w:w="5056"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锚杆支护遇顶板破碎、淋水区，过断层、老空区、高应力区以及大倾角、大断面、交岔点等特殊地段有加强支护措施，并至少向正常地段延伸5m</w:t>
            </w:r>
          </w:p>
        </w:tc>
        <w:tc>
          <w:tcPr>
            <w:tcW w:w="4225"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r>
              <w:rPr>
                <w:rFonts w:hint="eastAsia" w:asciiTheme="majorEastAsia" w:hAnsiTheme="majorEastAsia" w:eastAsiaTheme="majorEastAsia" w:cstheme="majorEastAsia"/>
                <w:strike w:val="0"/>
                <w:dstrike w:val="0"/>
                <w:color w:val="auto"/>
                <w:kern w:val="0"/>
                <w:sz w:val="21"/>
                <w:szCs w:val="21"/>
                <w:highlight w:val="none"/>
              </w:rPr>
              <w:t>新增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5" w:hRule="atLeast"/>
          <w:jc w:val="center"/>
        </w:trPr>
        <w:tc>
          <w:tcPr>
            <w:tcW w:w="1174" w:type="dxa"/>
            <w:vMerge w:val="continue"/>
            <w:tcBorders>
              <w:tl2br w:val="nil"/>
              <w:tr2bl w:val="nil"/>
            </w:tcBorders>
            <w:vAlign w:val="center"/>
          </w:tcPr>
          <w:p>
            <w:pPr>
              <w:widowControl/>
              <w:jc w:val="left"/>
              <w:rPr>
                <w:rFonts w:hint="eastAsia" w:asciiTheme="majorEastAsia" w:hAnsiTheme="majorEastAsia" w:eastAsiaTheme="majorEastAsia" w:cstheme="majorEastAsia"/>
                <w:strike w:val="0"/>
                <w:dstrike w:val="0"/>
                <w:kern w:val="0"/>
                <w:sz w:val="21"/>
                <w:szCs w:val="21"/>
                <w:highlight w:val="none"/>
              </w:rPr>
            </w:pPr>
          </w:p>
        </w:tc>
        <w:tc>
          <w:tcPr>
            <w:tcW w:w="887" w:type="dxa"/>
            <w:vMerge w:val="continue"/>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p>
        </w:tc>
        <w:tc>
          <w:tcPr>
            <w:tcW w:w="5056"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设备转动外露部位，溜煤（矸）眼及煤（矸）仓上口等人员通过的地点有可靠的安全防护设施</w:t>
            </w:r>
          </w:p>
        </w:tc>
        <w:tc>
          <w:tcPr>
            <w:tcW w:w="4225"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r>
              <w:rPr>
                <w:rFonts w:hint="eastAsia" w:asciiTheme="majorEastAsia" w:hAnsiTheme="majorEastAsia" w:eastAsiaTheme="majorEastAsia" w:cstheme="majorEastAsia"/>
                <w:strike w:val="0"/>
                <w:dstrike w:val="0"/>
                <w:color w:val="auto"/>
                <w:kern w:val="0"/>
                <w:sz w:val="21"/>
                <w:szCs w:val="21"/>
                <w:highlight w:val="none"/>
              </w:rPr>
              <w:t>新增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5" w:hRule="atLeast"/>
          <w:jc w:val="center"/>
        </w:trPr>
        <w:tc>
          <w:tcPr>
            <w:tcW w:w="1174" w:type="dxa"/>
            <w:vMerge w:val="continue"/>
            <w:tcBorders>
              <w:tl2br w:val="nil"/>
              <w:tr2bl w:val="nil"/>
            </w:tcBorders>
            <w:vAlign w:val="center"/>
          </w:tcPr>
          <w:p>
            <w:pPr>
              <w:widowControl/>
              <w:jc w:val="left"/>
              <w:rPr>
                <w:rFonts w:hint="eastAsia" w:asciiTheme="majorEastAsia" w:hAnsiTheme="majorEastAsia" w:eastAsiaTheme="majorEastAsia" w:cstheme="majorEastAsia"/>
                <w:strike w:val="0"/>
                <w:dstrike w:val="0"/>
                <w:kern w:val="0"/>
                <w:sz w:val="21"/>
                <w:szCs w:val="21"/>
                <w:highlight w:val="none"/>
              </w:rPr>
            </w:pPr>
          </w:p>
        </w:tc>
        <w:tc>
          <w:tcPr>
            <w:tcW w:w="887" w:type="dxa"/>
            <w:vMerge w:val="continue"/>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p>
        </w:tc>
        <w:tc>
          <w:tcPr>
            <w:tcW w:w="5056"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各种液压设备操纵阀手把能实现自动闭锁或有限位装置</w:t>
            </w:r>
          </w:p>
        </w:tc>
        <w:tc>
          <w:tcPr>
            <w:tcW w:w="4225"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r>
              <w:rPr>
                <w:rFonts w:hint="eastAsia" w:asciiTheme="majorEastAsia" w:hAnsiTheme="majorEastAsia" w:eastAsiaTheme="majorEastAsia" w:cstheme="majorEastAsia"/>
                <w:strike w:val="0"/>
                <w:dstrike w:val="0"/>
                <w:color w:val="auto"/>
                <w:kern w:val="0"/>
                <w:sz w:val="21"/>
                <w:szCs w:val="21"/>
                <w:highlight w:val="none"/>
              </w:rPr>
              <w:t>新增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5" w:hRule="atLeast"/>
          <w:jc w:val="center"/>
        </w:trPr>
        <w:tc>
          <w:tcPr>
            <w:tcW w:w="1174" w:type="dxa"/>
            <w:vMerge w:val="continue"/>
            <w:tcBorders>
              <w:tl2br w:val="nil"/>
              <w:tr2bl w:val="nil"/>
            </w:tcBorders>
            <w:vAlign w:val="center"/>
          </w:tcPr>
          <w:p>
            <w:pPr>
              <w:widowControl/>
              <w:jc w:val="left"/>
              <w:rPr>
                <w:rFonts w:hint="eastAsia" w:asciiTheme="majorEastAsia" w:hAnsiTheme="majorEastAsia" w:eastAsiaTheme="majorEastAsia" w:cstheme="majorEastAsia"/>
                <w:strike w:val="0"/>
                <w:dstrike w:val="0"/>
                <w:kern w:val="0"/>
                <w:sz w:val="21"/>
                <w:szCs w:val="21"/>
                <w:highlight w:val="none"/>
              </w:rPr>
            </w:pPr>
          </w:p>
        </w:tc>
        <w:tc>
          <w:tcPr>
            <w:tcW w:w="887" w:type="dxa"/>
            <w:vMerge w:val="continue"/>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p>
        </w:tc>
        <w:tc>
          <w:tcPr>
            <w:tcW w:w="5056"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带式输送机机头、配电点、防爆型柴油动力装置、油脂存放地点消防设施齐全</w:t>
            </w:r>
          </w:p>
        </w:tc>
        <w:tc>
          <w:tcPr>
            <w:tcW w:w="4225"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r>
              <w:rPr>
                <w:rFonts w:hint="eastAsia" w:asciiTheme="majorEastAsia" w:hAnsiTheme="majorEastAsia" w:eastAsiaTheme="majorEastAsia" w:cstheme="majorEastAsia"/>
                <w:strike w:val="0"/>
                <w:dstrike w:val="0"/>
                <w:color w:val="auto"/>
                <w:kern w:val="0"/>
                <w:sz w:val="21"/>
                <w:szCs w:val="21"/>
                <w:highlight w:val="none"/>
              </w:rPr>
              <w:t>新增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568" w:hRule="atLeast"/>
          <w:jc w:val="center"/>
        </w:trPr>
        <w:tc>
          <w:tcPr>
            <w:tcW w:w="1174" w:type="dxa"/>
            <w:vMerge w:val="restart"/>
            <w:tcBorders>
              <w:tl2br w:val="nil"/>
              <w:tr2bl w:val="nil"/>
            </w:tcBorders>
            <w:textDirection w:val="tbRlV"/>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三、机电设备（20分）</w:t>
            </w:r>
          </w:p>
        </w:tc>
        <w:tc>
          <w:tcPr>
            <w:tcW w:w="887" w:type="dxa"/>
            <w:vMerge w:val="restart"/>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掘进机械</w:t>
            </w:r>
          </w:p>
        </w:tc>
        <w:tc>
          <w:tcPr>
            <w:tcW w:w="5056"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1.掘进设备和施工机（工）具完好；</w:t>
            </w:r>
            <w:r>
              <w:rPr>
                <w:rFonts w:hint="eastAsia" w:asciiTheme="majorEastAsia" w:hAnsiTheme="majorEastAsia" w:eastAsiaTheme="majorEastAsia" w:cstheme="majorEastAsia"/>
                <w:strike w:val="0"/>
                <w:dstrike w:val="0"/>
                <w:color w:val="0070C0"/>
                <w:kern w:val="0"/>
                <w:sz w:val="21"/>
                <w:szCs w:val="21"/>
                <w:highlight w:val="none"/>
              </w:rPr>
              <w:t>电气保护齐全可靠</w:t>
            </w:r>
            <w:r>
              <w:rPr>
                <w:rFonts w:hint="eastAsia" w:asciiTheme="majorEastAsia" w:hAnsiTheme="majorEastAsia" w:eastAsiaTheme="majorEastAsia" w:cstheme="majorEastAsia"/>
                <w:strike w:val="0"/>
                <w:dstrike w:val="0"/>
                <w:kern w:val="0"/>
                <w:sz w:val="21"/>
                <w:szCs w:val="21"/>
                <w:highlight w:val="none"/>
              </w:rPr>
              <w:t>；</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2.掘进机、掘锚一体机、连续采煤机非操作侧设有急停按钮（连续采煤机除外）；有前照明和尾灯；</w:t>
            </w:r>
            <w:r>
              <w:rPr>
                <w:rFonts w:hint="eastAsia" w:asciiTheme="majorEastAsia" w:hAnsiTheme="majorEastAsia" w:eastAsiaTheme="majorEastAsia" w:cstheme="majorEastAsia"/>
                <w:strike w:val="0"/>
                <w:dstrike w:val="0"/>
                <w:color w:val="0070C0"/>
                <w:kern w:val="0"/>
                <w:sz w:val="21"/>
                <w:szCs w:val="21"/>
                <w:highlight w:val="none"/>
              </w:rPr>
              <w:t>除降尘装置有效；</w:t>
            </w:r>
            <w:r>
              <w:rPr>
                <w:rFonts w:hint="eastAsia" w:asciiTheme="majorEastAsia" w:hAnsiTheme="majorEastAsia" w:eastAsiaTheme="majorEastAsia" w:cstheme="majorEastAsia"/>
                <w:strike w:val="0"/>
                <w:dstrike w:val="0"/>
                <w:kern w:val="0"/>
                <w:sz w:val="21"/>
                <w:szCs w:val="21"/>
                <w:highlight w:val="none"/>
              </w:rPr>
              <w:t>停止工作时将切割头落地，并切断电源；</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3.掘进机、掘锚一体机、连续采煤机、梭车、锚杆钻车装设甲烷断电仪或者便携式甲烷检测报警仪；</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4.综掘工作面（锚杆支护）有机载临时支护装置；</w:t>
            </w:r>
          </w:p>
          <w:p>
            <w:pPr>
              <w:rPr>
                <w:rFonts w:hint="eastAsia" w:asciiTheme="majorEastAsia" w:hAnsiTheme="majorEastAsia" w:eastAsiaTheme="majorEastAsia" w:cstheme="majorEastAsia"/>
                <w:strike w:val="0"/>
                <w:dstrike w:val="0"/>
                <w:sz w:val="21"/>
                <w:szCs w:val="21"/>
                <w:highlight w:val="none"/>
              </w:rPr>
            </w:pPr>
            <w:r>
              <w:rPr>
                <w:rFonts w:hint="eastAsia" w:asciiTheme="majorEastAsia" w:hAnsiTheme="majorEastAsia" w:eastAsiaTheme="majorEastAsia" w:cstheme="majorEastAsia"/>
                <w:strike w:val="0"/>
                <w:dstrike w:val="0"/>
                <w:sz w:val="21"/>
                <w:szCs w:val="21"/>
                <w:highlight w:val="none"/>
              </w:rPr>
              <w:t>5.移动电缆有吊挂、拖曳装置</w:t>
            </w:r>
          </w:p>
        </w:tc>
        <w:tc>
          <w:tcPr>
            <w:tcW w:w="4225"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1.掘进施工机（工）具完好，</w:t>
            </w:r>
            <w:r>
              <w:rPr>
                <w:rFonts w:hint="eastAsia" w:asciiTheme="majorEastAsia" w:hAnsiTheme="majorEastAsia" w:eastAsiaTheme="majorEastAsia" w:cstheme="majorEastAsia"/>
                <w:strike w:val="0"/>
                <w:dstrike w:val="0"/>
                <w:color w:val="FF0000"/>
                <w:kern w:val="0"/>
                <w:sz w:val="21"/>
                <w:szCs w:val="21"/>
                <w:highlight w:val="none"/>
              </w:rPr>
              <w:t>激光指向仪、工程质量验收使用的器具（仪表）完好精准；</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2.</w:t>
            </w:r>
            <w:r>
              <w:rPr>
                <w:rFonts w:hint="eastAsia" w:asciiTheme="majorEastAsia" w:hAnsiTheme="majorEastAsia" w:eastAsiaTheme="majorEastAsia" w:cstheme="majorEastAsia"/>
                <w:strike w:val="0"/>
                <w:dstrike w:val="0"/>
                <w:color w:val="FF0000"/>
                <w:kern w:val="0"/>
                <w:sz w:val="21"/>
                <w:szCs w:val="21"/>
                <w:highlight w:val="none"/>
              </w:rPr>
              <w:t>掘进机械设备完好，截割部运行时人员不在截割臂下停留和穿越，机身与煤（岩）壁之间不站人；综掘机铲板前方和截割臂附近无人时方可启动</w:t>
            </w:r>
            <w:r>
              <w:rPr>
                <w:rFonts w:hint="eastAsia" w:asciiTheme="majorEastAsia" w:hAnsiTheme="majorEastAsia" w:eastAsiaTheme="majorEastAsia" w:cstheme="majorEastAsia"/>
                <w:strike w:val="0"/>
                <w:dstrike w:val="0"/>
                <w:kern w:val="0"/>
                <w:sz w:val="21"/>
                <w:szCs w:val="21"/>
                <w:highlight w:val="none"/>
              </w:rPr>
              <w:t>,停止工作和</w:t>
            </w:r>
            <w:r>
              <w:rPr>
                <w:rFonts w:hint="eastAsia" w:asciiTheme="majorEastAsia" w:hAnsiTheme="majorEastAsia" w:eastAsiaTheme="majorEastAsia" w:cstheme="majorEastAsia"/>
                <w:strike w:val="0"/>
                <w:dstrike w:val="0"/>
                <w:color w:val="FF0000"/>
                <w:kern w:val="0"/>
                <w:sz w:val="21"/>
                <w:szCs w:val="21"/>
                <w:highlight w:val="none"/>
              </w:rPr>
              <w:t>交接班</w:t>
            </w:r>
            <w:r>
              <w:rPr>
                <w:rFonts w:hint="eastAsia" w:asciiTheme="majorEastAsia" w:hAnsiTheme="majorEastAsia" w:eastAsiaTheme="majorEastAsia" w:cstheme="majorEastAsia"/>
                <w:strike w:val="0"/>
                <w:dstrike w:val="0"/>
                <w:kern w:val="0"/>
                <w:sz w:val="21"/>
                <w:szCs w:val="21"/>
                <w:highlight w:val="none"/>
              </w:rPr>
              <w:t>时按要求停放综掘机，将切割头落地，并切断电源；移动电缆有吊挂、拖曳、</w:t>
            </w:r>
            <w:r>
              <w:rPr>
                <w:rFonts w:hint="eastAsia" w:asciiTheme="majorEastAsia" w:hAnsiTheme="majorEastAsia" w:eastAsiaTheme="majorEastAsia" w:cstheme="majorEastAsia"/>
                <w:strike w:val="0"/>
                <w:dstrike w:val="0"/>
                <w:color w:val="FF0000"/>
                <w:kern w:val="0"/>
                <w:sz w:val="21"/>
                <w:szCs w:val="21"/>
                <w:highlight w:val="none"/>
              </w:rPr>
              <w:t>收放、防拔脱装置，并且完好</w:t>
            </w:r>
            <w:r>
              <w:rPr>
                <w:rFonts w:hint="eastAsia" w:asciiTheme="majorEastAsia" w:hAnsiTheme="majorEastAsia" w:eastAsiaTheme="majorEastAsia" w:cstheme="majorEastAsia"/>
                <w:strike w:val="0"/>
                <w:dstrike w:val="0"/>
                <w:kern w:val="0"/>
                <w:sz w:val="21"/>
                <w:szCs w:val="21"/>
                <w:highlight w:val="none"/>
              </w:rPr>
              <w:t>；掘进机、掘锚一体机、连续采煤机、梭车、锚杆钻车装设甲烷断电仪或者便携式甲烷检测报警仪；</w:t>
            </w:r>
          </w:p>
          <w:p>
            <w:pPr>
              <w:adjustRightInd w:val="0"/>
              <w:snapToGrid w:val="0"/>
              <w:rPr>
                <w:rFonts w:hint="eastAsia" w:asciiTheme="majorEastAsia" w:hAnsiTheme="majorEastAsia" w:eastAsiaTheme="majorEastAsia" w:cstheme="majorEastAsia"/>
                <w:strike w:val="0"/>
                <w:dstrike w:val="0"/>
                <w:color w:val="FF000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3.</w:t>
            </w:r>
            <w:r>
              <w:rPr>
                <w:rFonts w:hint="eastAsia" w:asciiTheme="majorEastAsia" w:hAnsiTheme="majorEastAsia" w:eastAsiaTheme="majorEastAsia" w:cstheme="majorEastAsia"/>
                <w:strike w:val="0"/>
                <w:dstrike w:val="0"/>
                <w:color w:val="FF0000"/>
                <w:kern w:val="0"/>
                <w:sz w:val="21"/>
                <w:szCs w:val="21"/>
                <w:highlight w:val="none"/>
              </w:rPr>
              <w:t>使用</w:t>
            </w:r>
            <w:r>
              <w:rPr>
                <w:rFonts w:hint="eastAsia" w:asciiTheme="majorEastAsia" w:hAnsiTheme="majorEastAsia" w:eastAsiaTheme="majorEastAsia" w:cstheme="majorEastAsia"/>
                <w:strike w:val="0"/>
                <w:dstrike w:val="0"/>
                <w:kern w:val="0"/>
                <w:sz w:val="21"/>
                <w:szCs w:val="21"/>
                <w:highlight w:val="none"/>
              </w:rPr>
              <w:t>掘进机、掘锚一体机、连续采煤机掘进时，</w:t>
            </w:r>
            <w:r>
              <w:rPr>
                <w:rFonts w:hint="eastAsia" w:asciiTheme="majorEastAsia" w:hAnsiTheme="majorEastAsia" w:eastAsiaTheme="majorEastAsia" w:cstheme="majorEastAsia"/>
                <w:strike w:val="0"/>
                <w:dstrike w:val="0"/>
                <w:color w:val="FF0000"/>
                <w:kern w:val="0"/>
                <w:sz w:val="21"/>
                <w:szCs w:val="21"/>
                <w:highlight w:val="none"/>
              </w:rPr>
              <w:t>开机、退机、调机时发出报警信号，</w:t>
            </w:r>
            <w:r>
              <w:rPr>
                <w:rFonts w:hint="eastAsia" w:asciiTheme="majorEastAsia" w:hAnsiTheme="majorEastAsia" w:eastAsiaTheme="majorEastAsia" w:cstheme="majorEastAsia"/>
                <w:strike w:val="0"/>
                <w:dstrike w:val="0"/>
                <w:kern w:val="0"/>
                <w:sz w:val="21"/>
                <w:szCs w:val="21"/>
                <w:highlight w:val="none"/>
              </w:rPr>
              <w:t>设备非操作侧设有急停按钮（连续采煤机除外），有前照明和尾灯；</w:t>
            </w:r>
            <w:r>
              <w:rPr>
                <w:rFonts w:hint="eastAsia" w:asciiTheme="majorEastAsia" w:hAnsiTheme="majorEastAsia" w:eastAsiaTheme="majorEastAsia" w:cstheme="majorEastAsia"/>
                <w:strike w:val="0"/>
                <w:dstrike w:val="0"/>
                <w:color w:val="FF0000"/>
                <w:kern w:val="0"/>
                <w:sz w:val="21"/>
                <w:szCs w:val="21"/>
                <w:highlight w:val="none"/>
              </w:rPr>
              <w:t>内外喷雾使用正常；</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color w:val="FF0000"/>
                <w:kern w:val="0"/>
                <w:sz w:val="21"/>
                <w:szCs w:val="21"/>
                <w:highlight w:val="none"/>
              </w:rPr>
              <w:t>4.安装机载照明的掘进机后配套设备（如锚杆钻车等）启动前开启照明；</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17" w:hRule="atLeast"/>
          <w:jc w:val="center"/>
        </w:trPr>
        <w:tc>
          <w:tcPr>
            <w:tcW w:w="1174" w:type="dxa"/>
            <w:vMerge w:val="continue"/>
            <w:tcBorders>
              <w:tl2br w:val="nil"/>
              <w:tr2bl w:val="nil"/>
            </w:tcBorders>
            <w:textDirection w:val="tbRlV"/>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p>
        </w:tc>
        <w:tc>
          <w:tcPr>
            <w:tcW w:w="887" w:type="dxa"/>
            <w:vMerge w:val="continue"/>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p>
        </w:tc>
        <w:tc>
          <w:tcPr>
            <w:tcW w:w="5056"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color w:val="0070C0"/>
                <w:kern w:val="0"/>
                <w:sz w:val="21"/>
                <w:szCs w:val="21"/>
                <w:highlight w:val="none"/>
              </w:rPr>
              <w:t>耙装机刹车装置完好、可靠</w:t>
            </w:r>
            <w:r>
              <w:rPr>
                <w:rFonts w:hint="eastAsia" w:asciiTheme="majorEastAsia" w:hAnsiTheme="majorEastAsia" w:eastAsiaTheme="majorEastAsia" w:cstheme="majorEastAsia"/>
                <w:strike w:val="0"/>
                <w:dstrike w:val="0"/>
                <w:kern w:val="0"/>
                <w:sz w:val="21"/>
                <w:szCs w:val="21"/>
                <w:highlight w:val="none"/>
              </w:rPr>
              <w:t>；挡绳栏和防耙斗出槽的护栏，距工作面的距离，钢丝绳滑轮以及机身、尾轮的固定符合作业规程要求；斜巷中使用有防止机身下滑的措施；上山施工倾角大于20°时，司机前方设有护身柱或挡板，并在耙装机前增设固定装置</w:t>
            </w:r>
          </w:p>
        </w:tc>
        <w:tc>
          <w:tcPr>
            <w:tcW w:w="4225"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5.</w:t>
            </w:r>
            <w:r>
              <w:rPr>
                <w:rFonts w:hint="eastAsia" w:asciiTheme="majorEastAsia" w:hAnsiTheme="majorEastAsia" w:eastAsiaTheme="majorEastAsia" w:cstheme="majorEastAsia"/>
                <w:strike w:val="0"/>
                <w:dstrike w:val="0"/>
                <w:color w:val="FF0000"/>
                <w:kern w:val="0"/>
                <w:sz w:val="21"/>
                <w:szCs w:val="21"/>
                <w:highlight w:val="none"/>
              </w:rPr>
              <w:t>耙装机装设有封闭式金属</w:t>
            </w:r>
            <w:r>
              <w:rPr>
                <w:rFonts w:hint="eastAsia" w:asciiTheme="majorEastAsia" w:hAnsiTheme="majorEastAsia" w:eastAsiaTheme="majorEastAsia" w:cstheme="majorEastAsia"/>
                <w:strike w:val="0"/>
                <w:dstrike w:val="0"/>
                <w:kern w:val="0"/>
                <w:sz w:val="21"/>
                <w:szCs w:val="21"/>
                <w:highlight w:val="none"/>
              </w:rPr>
              <w:t>挡绳栏和防耙斗出槽的护栏，</w:t>
            </w:r>
            <w:r>
              <w:rPr>
                <w:rFonts w:hint="eastAsia" w:asciiTheme="majorEastAsia" w:hAnsiTheme="majorEastAsia" w:eastAsiaTheme="majorEastAsia" w:cstheme="majorEastAsia"/>
                <w:strike w:val="0"/>
                <w:dstrike w:val="0"/>
                <w:color w:val="FF0000"/>
                <w:kern w:val="0"/>
                <w:sz w:val="21"/>
                <w:szCs w:val="21"/>
                <w:highlight w:val="none"/>
              </w:rPr>
              <w:t>固定</w:t>
            </w:r>
            <w:r>
              <w:rPr>
                <w:rFonts w:hint="eastAsia" w:asciiTheme="majorEastAsia" w:hAnsiTheme="majorEastAsia" w:eastAsiaTheme="majorEastAsia" w:cstheme="majorEastAsia"/>
                <w:strike w:val="0"/>
                <w:dstrike w:val="0"/>
                <w:kern w:val="0"/>
                <w:sz w:val="21"/>
                <w:szCs w:val="21"/>
                <w:highlight w:val="none"/>
              </w:rPr>
              <w:t>钢丝绳滑轮</w:t>
            </w:r>
            <w:r>
              <w:rPr>
                <w:rFonts w:hint="eastAsia" w:asciiTheme="majorEastAsia" w:hAnsiTheme="majorEastAsia" w:eastAsiaTheme="majorEastAsia" w:cstheme="majorEastAsia"/>
                <w:strike w:val="0"/>
                <w:dstrike w:val="0"/>
                <w:color w:val="FF0000"/>
                <w:kern w:val="0"/>
                <w:sz w:val="21"/>
                <w:szCs w:val="21"/>
                <w:highlight w:val="none"/>
              </w:rPr>
              <w:t>的锚桩及其孔深和牢固程度符合作业规程规定</w:t>
            </w:r>
            <w:r>
              <w:rPr>
                <w:rFonts w:hint="eastAsia" w:asciiTheme="majorEastAsia" w:hAnsiTheme="majorEastAsia" w:eastAsiaTheme="majorEastAsia" w:cstheme="majorEastAsia"/>
                <w:strike w:val="0"/>
                <w:dstrike w:val="0"/>
                <w:kern w:val="0"/>
                <w:sz w:val="21"/>
                <w:szCs w:val="21"/>
                <w:highlight w:val="none"/>
              </w:rPr>
              <w:t>，机身和尾轮应固定牢靠；上山施工倾角大于20°时，在司机前方设有护身柱或挡板，并在耙装机前增设固定装置；在斜巷中使用耙装机时有防止机身下滑的措施；耙装机距工作面的距离符合作业规程规定；</w:t>
            </w:r>
            <w:r>
              <w:rPr>
                <w:rFonts w:hint="eastAsia" w:asciiTheme="majorEastAsia" w:hAnsiTheme="majorEastAsia" w:eastAsiaTheme="majorEastAsia" w:cstheme="majorEastAsia"/>
                <w:strike w:val="0"/>
                <w:dstrike w:val="0"/>
                <w:color w:val="FF0000"/>
                <w:kern w:val="0"/>
                <w:sz w:val="21"/>
                <w:szCs w:val="21"/>
                <w:highlight w:val="none"/>
              </w:rPr>
              <w:t>耙装机作业时有照明；</w:t>
            </w: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1174" w:type="dxa"/>
            <w:vMerge w:val="continue"/>
            <w:tcBorders>
              <w:tl2br w:val="nil"/>
              <w:tr2bl w:val="nil"/>
            </w:tcBorders>
            <w:textDirection w:val="tbRlV"/>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p>
        </w:tc>
        <w:tc>
          <w:tcPr>
            <w:tcW w:w="887" w:type="dxa"/>
            <w:vMerge w:val="continue"/>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p>
        </w:tc>
        <w:tc>
          <w:tcPr>
            <w:tcW w:w="5056"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p>
        </w:tc>
        <w:tc>
          <w:tcPr>
            <w:tcW w:w="4225"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color w:val="FF0000"/>
                <w:kern w:val="0"/>
                <w:sz w:val="21"/>
                <w:szCs w:val="21"/>
                <w:highlight w:val="none"/>
              </w:rPr>
            </w:pPr>
            <w:r>
              <w:rPr>
                <w:rFonts w:hint="eastAsia" w:asciiTheme="majorEastAsia" w:hAnsiTheme="majorEastAsia" w:eastAsiaTheme="majorEastAsia" w:cstheme="majorEastAsia"/>
                <w:strike w:val="0"/>
                <w:dstrike w:val="0"/>
                <w:color w:val="FF0000"/>
                <w:kern w:val="0"/>
                <w:sz w:val="21"/>
                <w:szCs w:val="21"/>
                <w:highlight w:val="none"/>
              </w:rPr>
              <w:t>6.掘进机械设备有管理台账和检修维修记录</w:t>
            </w: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r>
              <w:rPr>
                <w:rFonts w:hint="eastAsia" w:asciiTheme="majorEastAsia" w:hAnsiTheme="majorEastAsia" w:eastAsiaTheme="majorEastAsia" w:cstheme="majorEastAsia"/>
                <w:strike w:val="0"/>
                <w:dstrike w:val="0"/>
                <w:color w:val="auto"/>
                <w:kern w:val="0"/>
                <w:sz w:val="21"/>
                <w:szCs w:val="21"/>
                <w:highlight w:val="none"/>
              </w:rPr>
              <w:t>删除</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jc w:val="center"/>
        </w:trPr>
        <w:tc>
          <w:tcPr>
            <w:tcW w:w="1174" w:type="dxa"/>
            <w:vMerge w:val="continue"/>
            <w:tcBorders>
              <w:tl2br w:val="nil"/>
              <w:tr2bl w:val="nil"/>
            </w:tcBorders>
            <w:textDirection w:val="tbRlV"/>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p>
        </w:tc>
        <w:tc>
          <w:tcPr>
            <w:tcW w:w="887"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p>
        </w:tc>
        <w:tc>
          <w:tcPr>
            <w:tcW w:w="5056" w:type="dxa"/>
            <w:tcBorders>
              <w:tl2br w:val="nil"/>
              <w:tr2bl w:val="nil"/>
            </w:tcBorders>
          </w:tcPr>
          <w:p>
            <w:pPr>
              <w:adjustRightInd w:val="0"/>
              <w:snapToGrid w:val="0"/>
              <w:rPr>
                <w:rFonts w:hint="eastAsia" w:asciiTheme="majorEastAsia" w:hAnsiTheme="majorEastAsia" w:eastAsiaTheme="majorEastAsia" w:cstheme="majorEastAsia"/>
                <w:strike w:val="0"/>
                <w:dstrike w:val="0"/>
                <w:kern w:val="0"/>
                <w:sz w:val="21"/>
                <w:szCs w:val="21"/>
                <w:highlight w:val="none"/>
              </w:rPr>
            </w:pPr>
          </w:p>
        </w:tc>
        <w:tc>
          <w:tcPr>
            <w:tcW w:w="4225"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color w:val="FF0000"/>
                <w:kern w:val="0"/>
                <w:sz w:val="21"/>
                <w:szCs w:val="21"/>
                <w:highlight w:val="none"/>
              </w:rPr>
            </w:pPr>
            <w:r>
              <w:rPr>
                <w:rFonts w:hint="eastAsia" w:asciiTheme="majorEastAsia" w:hAnsiTheme="majorEastAsia" w:eastAsiaTheme="majorEastAsia" w:cstheme="majorEastAsia"/>
                <w:strike w:val="0"/>
                <w:dstrike w:val="0"/>
                <w:color w:val="FF0000"/>
                <w:kern w:val="0"/>
                <w:sz w:val="21"/>
                <w:szCs w:val="21"/>
                <w:highlight w:val="none"/>
              </w:rPr>
              <w:t>1.后运配套系统设备设施能力匹配；</w:t>
            </w:r>
          </w:p>
          <w:p>
            <w:pPr>
              <w:adjustRightInd w:val="0"/>
              <w:snapToGrid w:val="0"/>
              <w:rPr>
                <w:rFonts w:hint="eastAsia" w:asciiTheme="majorEastAsia" w:hAnsiTheme="majorEastAsia" w:eastAsiaTheme="majorEastAsia" w:cstheme="majorEastAsia"/>
                <w:strike w:val="0"/>
                <w:dstrike w:val="0"/>
                <w:color w:val="FF0000"/>
                <w:kern w:val="0"/>
                <w:sz w:val="21"/>
                <w:szCs w:val="21"/>
                <w:highlight w:val="none"/>
              </w:rPr>
            </w:pPr>
            <w:r>
              <w:rPr>
                <w:rFonts w:hint="eastAsia" w:asciiTheme="majorEastAsia" w:hAnsiTheme="majorEastAsia" w:eastAsiaTheme="majorEastAsia" w:cstheme="majorEastAsia"/>
                <w:strike w:val="0"/>
                <w:dstrike w:val="0"/>
                <w:color w:val="FF0000"/>
                <w:kern w:val="0"/>
                <w:sz w:val="21"/>
                <w:szCs w:val="21"/>
                <w:highlight w:val="none"/>
              </w:rPr>
              <w:t>2.运输设备完好，电气保护齐全可靠，行人跨越处应设过桥；</w:t>
            </w: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r>
              <w:rPr>
                <w:rFonts w:hint="eastAsia" w:asciiTheme="majorEastAsia" w:hAnsiTheme="majorEastAsia" w:eastAsiaTheme="majorEastAsia" w:cstheme="majorEastAsia"/>
                <w:strike w:val="0"/>
                <w:dstrike w:val="0"/>
                <w:color w:val="auto"/>
                <w:kern w:val="0"/>
                <w:sz w:val="21"/>
                <w:szCs w:val="21"/>
                <w:highlight w:val="none"/>
              </w:rPr>
              <w:t>删除</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685" w:hRule="atLeast"/>
          <w:jc w:val="center"/>
        </w:trPr>
        <w:tc>
          <w:tcPr>
            <w:tcW w:w="1174" w:type="dxa"/>
            <w:vMerge w:val="continue"/>
            <w:tcBorders>
              <w:tl2br w:val="nil"/>
              <w:tr2bl w:val="nil"/>
            </w:tcBorders>
            <w:textDirection w:val="tbRlV"/>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p>
        </w:tc>
        <w:tc>
          <w:tcPr>
            <w:tcW w:w="887"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刮板输送机</w:t>
            </w:r>
          </w:p>
        </w:tc>
        <w:tc>
          <w:tcPr>
            <w:tcW w:w="5056" w:type="dxa"/>
            <w:tcBorders>
              <w:tl2br w:val="nil"/>
              <w:tr2bl w:val="nil"/>
            </w:tcBorders>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color w:val="0070C0"/>
                <w:kern w:val="0"/>
                <w:sz w:val="21"/>
                <w:szCs w:val="21"/>
                <w:highlight w:val="none"/>
              </w:rPr>
              <w:t>刮板输送机完好；</w:t>
            </w:r>
            <w:r>
              <w:rPr>
                <w:rFonts w:hint="eastAsia" w:asciiTheme="majorEastAsia" w:hAnsiTheme="majorEastAsia" w:eastAsiaTheme="majorEastAsia" w:cstheme="majorEastAsia"/>
                <w:strike w:val="0"/>
                <w:dstrike w:val="0"/>
                <w:kern w:val="0"/>
                <w:sz w:val="21"/>
                <w:szCs w:val="21"/>
                <w:highlight w:val="none"/>
              </w:rPr>
              <w:t>液力偶合器不使用可燃性传动介质（调速型液力偶合器不受此限），使用合格的易熔塞或防爆片；机头、机尾固定可靠；</w:t>
            </w:r>
            <w:r>
              <w:rPr>
                <w:rFonts w:hint="eastAsia" w:asciiTheme="majorEastAsia" w:hAnsiTheme="majorEastAsia" w:eastAsiaTheme="majorEastAsia" w:cstheme="majorEastAsia"/>
                <w:strike w:val="0"/>
                <w:dstrike w:val="0"/>
                <w:color w:val="0070C0"/>
                <w:kern w:val="0"/>
                <w:sz w:val="21"/>
                <w:szCs w:val="21"/>
                <w:highlight w:val="none"/>
              </w:rPr>
              <w:t>行人通过处设置过桥</w:t>
            </w:r>
          </w:p>
        </w:tc>
        <w:tc>
          <w:tcPr>
            <w:tcW w:w="4225"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3.</w:t>
            </w:r>
            <w:r>
              <w:rPr>
                <w:rFonts w:hint="eastAsia" w:asciiTheme="majorEastAsia" w:hAnsiTheme="majorEastAsia" w:eastAsiaTheme="majorEastAsia" w:cstheme="majorEastAsia"/>
                <w:strike w:val="0"/>
                <w:dstrike w:val="0"/>
                <w:color w:val="FF0000"/>
                <w:kern w:val="0"/>
                <w:sz w:val="21"/>
                <w:szCs w:val="21"/>
                <w:highlight w:val="none"/>
              </w:rPr>
              <w:t>刮板输送机、带式输送机减速器与电动机实现软启动或软连接，</w:t>
            </w:r>
            <w:r>
              <w:rPr>
                <w:rFonts w:hint="eastAsia" w:asciiTheme="majorEastAsia" w:hAnsiTheme="majorEastAsia" w:eastAsiaTheme="majorEastAsia" w:cstheme="majorEastAsia"/>
                <w:strike w:val="0"/>
                <w:dstrike w:val="0"/>
                <w:kern w:val="0"/>
                <w:sz w:val="21"/>
                <w:szCs w:val="21"/>
                <w:highlight w:val="none"/>
              </w:rPr>
              <w:t>液力偶合器不使用可燃性传动介质（调速型液力偶合器不受此限），使用合格的易熔塞和防爆片；</w:t>
            </w:r>
            <w:r>
              <w:rPr>
                <w:rFonts w:hint="eastAsia" w:asciiTheme="majorEastAsia" w:hAnsiTheme="majorEastAsia" w:eastAsiaTheme="majorEastAsia" w:cstheme="majorEastAsia"/>
                <w:strike w:val="0"/>
                <w:dstrike w:val="0"/>
                <w:color w:val="FF0000"/>
                <w:kern w:val="0"/>
                <w:sz w:val="21"/>
                <w:szCs w:val="21"/>
                <w:highlight w:val="none"/>
              </w:rPr>
              <w:t>开关上架，电气设备不被淋水</w:t>
            </w:r>
            <w:r>
              <w:rPr>
                <w:rFonts w:hint="eastAsia" w:asciiTheme="majorEastAsia" w:hAnsiTheme="majorEastAsia" w:eastAsiaTheme="majorEastAsia" w:cstheme="majorEastAsia"/>
                <w:strike w:val="0"/>
                <w:dstrike w:val="0"/>
                <w:kern w:val="0"/>
                <w:sz w:val="21"/>
                <w:szCs w:val="21"/>
                <w:highlight w:val="none"/>
              </w:rPr>
              <w:t>；机头、机尾固定牢固；</w:t>
            </w: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014" w:hRule="atLeast"/>
          <w:jc w:val="center"/>
        </w:trPr>
        <w:tc>
          <w:tcPr>
            <w:tcW w:w="1174" w:type="dxa"/>
            <w:vMerge w:val="continue"/>
            <w:tcBorders>
              <w:tl2br w:val="nil"/>
              <w:tr2bl w:val="nil"/>
            </w:tcBorders>
            <w:textDirection w:val="tbRlV"/>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p>
        </w:tc>
        <w:tc>
          <w:tcPr>
            <w:tcW w:w="887"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带式输送机</w:t>
            </w:r>
          </w:p>
        </w:tc>
        <w:tc>
          <w:tcPr>
            <w:tcW w:w="5056"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color w:val="0070C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1.机架编号管理，</w:t>
            </w:r>
            <w:r>
              <w:rPr>
                <w:rFonts w:hint="eastAsia" w:asciiTheme="majorEastAsia" w:hAnsiTheme="majorEastAsia" w:eastAsiaTheme="majorEastAsia" w:cstheme="majorEastAsia"/>
                <w:strike w:val="0"/>
                <w:dstrike w:val="0"/>
                <w:color w:val="0070C0"/>
                <w:kern w:val="0"/>
                <w:sz w:val="21"/>
                <w:szCs w:val="21"/>
                <w:highlight w:val="none"/>
              </w:rPr>
              <w:t>滚筒、</w:t>
            </w:r>
            <w:r>
              <w:rPr>
                <w:rFonts w:hint="eastAsia" w:asciiTheme="majorEastAsia" w:hAnsiTheme="majorEastAsia" w:eastAsiaTheme="majorEastAsia" w:cstheme="majorEastAsia"/>
                <w:strike w:val="0"/>
                <w:dstrike w:val="0"/>
                <w:kern w:val="0"/>
                <w:sz w:val="21"/>
                <w:szCs w:val="21"/>
                <w:highlight w:val="none"/>
              </w:rPr>
              <w:t>托辊齐全、转动灵活；</w:t>
            </w:r>
          </w:p>
          <w:p>
            <w:pPr>
              <w:adjustRightInd w:val="0"/>
              <w:snapToGrid w:val="0"/>
              <w:rPr>
                <w:rFonts w:hint="eastAsia" w:asciiTheme="majorEastAsia" w:hAnsiTheme="majorEastAsia" w:eastAsiaTheme="majorEastAsia" w:cstheme="majorEastAsia"/>
                <w:strike w:val="0"/>
                <w:dstrike w:val="0"/>
                <w:color w:val="0070C0"/>
                <w:kern w:val="0"/>
                <w:sz w:val="21"/>
                <w:szCs w:val="21"/>
                <w:highlight w:val="none"/>
              </w:rPr>
            </w:pPr>
            <w:r>
              <w:rPr>
                <w:rFonts w:hint="eastAsia" w:asciiTheme="majorEastAsia" w:hAnsiTheme="majorEastAsia" w:eastAsiaTheme="majorEastAsia" w:cstheme="majorEastAsia"/>
                <w:strike w:val="0"/>
                <w:dstrike w:val="0"/>
                <w:color w:val="0070C0"/>
                <w:kern w:val="0"/>
                <w:sz w:val="21"/>
                <w:szCs w:val="21"/>
                <w:highlight w:val="none"/>
              </w:rPr>
              <w:t>2.电气保护齐全可靠；</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3.使用阻燃、抗静电胶带；装设防打滑、防堆煤、防跑偏、防撕裂保护装置，以及温度、烟雾监测和自动洒水装置，</w:t>
            </w:r>
            <w:r>
              <w:rPr>
                <w:rFonts w:hint="eastAsia" w:asciiTheme="majorEastAsia" w:hAnsiTheme="majorEastAsia" w:eastAsiaTheme="majorEastAsia" w:cstheme="majorEastAsia"/>
                <w:strike w:val="0"/>
                <w:dstrike w:val="0"/>
                <w:color w:val="0070C0"/>
                <w:kern w:val="0"/>
                <w:sz w:val="21"/>
                <w:szCs w:val="21"/>
                <w:highlight w:val="none"/>
              </w:rPr>
              <w:t>定期进行保护试验</w:t>
            </w:r>
            <w:r>
              <w:rPr>
                <w:rFonts w:hint="eastAsia" w:asciiTheme="majorEastAsia" w:hAnsiTheme="majorEastAsia" w:eastAsiaTheme="majorEastAsia" w:cstheme="majorEastAsia"/>
                <w:strike w:val="0"/>
                <w:dstrike w:val="0"/>
                <w:kern w:val="0"/>
                <w:sz w:val="21"/>
                <w:szCs w:val="21"/>
                <w:highlight w:val="none"/>
              </w:rPr>
              <w:t>；</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4.上运式带式输送机装设防逆转装置和制动装置，下运式带式输送机装设软制动装置和防超速保护装置；</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5.减速器与电动机采用软连接或软启动控制，液力偶合器不使用可燃性传动介质（调速型液力偶合器不受此限），使用合格的易熔塞或防爆片；</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6.连续运输系统有连锁、闭锁控制装置，机头、机尾及全线安设通信和信号装置间距不超过200m，</w:t>
            </w:r>
            <w:r>
              <w:rPr>
                <w:rFonts w:hint="eastAsia" w:asciiTheme="majorEastAsia" w:hAnsiTheme="majorEastAsia" w:eastAsiaTheme="majorEastAsia" w:cstheme="majorEastAsia"/>
                <w:strike w:val="0"/>
                <w:dstrike w:val="0"/>
                <w:color w:val="0070C0"/>
                <w:kern w:val="0"/>
                <w:sz w:val="21"/>
                <w:szCs w:val="21"/>
                <w:highlight w:val="none"/>
              </w:rPr>
              <w:t>沿线安设有效的急停装置；</w:t>
            </w:r>
          </w:p>
          <w:p>
            <w:pPr>
              <w:widowControl/>
              <w:adjustRightInd w:val="0"/>
              <w:snapToGrid w:val="0"/>
              <w:jc w:val="left"/>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7.机头、机尾固定牢固，机头有防护栏，机尾使用挡煤板，有防护罩；在大于16°的斜巷中带式输送机设置防护网，并采取防止物料下滑、滚落等安全措施</w:t>
            </w:r>
          </w:p>
        </w:tc>
        <w:tc>
          <w:tcPr>
            <w:tcW w:w="4225" w:type="dxa"/>
            <w:tcBorders>
              <w:tl2br w:val="nil"/>
              <w:tr2bl w:val="nil"/>
            </w:tcBorders>
            <w:vAlign w:val="center"/>
          </w:tcPr>
          <w:p>
            <w:pPr>
              <w:widowControl/>
              <w:adjustRightInd w:val="0"/>
              <w:snapToGrid w:val="0"/>
              <w:jc w:val="left"/>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4.带式输送机胶带阻燃和抗静电性能符合规定，有防打滑、防跑偏、防堆煤、防撕裂等保护装置，装设温度、烟雾监测装置和自动洒水装置；</w:t>
            </w:r>
            <w:r>
              <w:rPr>
                <w:rFonts w:hint="eastAsia" w:asciiTheme="majorEastAsia" w:hAnsiTheme="majorEastAsia" w:eastAsiaTheme="majorEastAsia" w:cstheme="majorEastAsia"/>
                <w:strike w:val="0"/>
                <w:dstrike w:val="0"/>
                <w:color w:val="FF0000"/>
                <w:kern w:val="0"/>
                <w:sz w:val="21"/>
                <w:szCs w:val="21"/>
                <w:highlight w:val="none"/>
              </w:rPr>
              <w:t>机头、机尾应有安全防护设施;机头处有消防设施</w:t>
            </w:r>
            <w:r>
              <w:rPr>
                <w:rFonts w:hint="eastAsia" w:asciiTheme="majorEastAsia" w:hAnsiTheme="majorEastAsia" w:eastAsiaTheme="majorEastAsia" w:cstheme="majorEastAsia"/>
                <w:strike w:val="0"/>
                <w:dstrike w:val="0"/>
                <w:kern w:val="0"/>
                <w:sz w:val="21"/>
                <w:szCs w:val="21"/>
                <w:highlight w:val="none"/>
              </w:rPr>
              <w:t>；连续运输系统安设有连锁、闭锁控制装置，机头、机尾及全线安设通信和信号装置，安设间距不超过200m；</w:t>
            </w:r>
            <w:r>
              <w:rPr>
                <w:rFonts w:hint="eastAsia" w:asciiTheme="majorEastAsia" w:hAnsiTheme="majorEastAsia" w:eastAsiaTheme="majorEastAsia" w:cstheme="majorEastAsia"/>
                <w:strike w:val="0"/>
                <w:dstrike w:val="0"/>
                <w:color w:val="FF0000"/>
                <w:kern w:val="0"/>
                <w:sz w:val="21"/>
                <w:szCs w:val="21"/>
                <w:highlight w:val="none"/>
              </w:rPr>
              <w:t>采用集中综合智能控制方式；</w:t>
            </w:r>
            <w:r>
              <w:rPr>
                <w:rFonts w:hint="eastAsia" w:asciiTheme="majorEastAsia" w:hAnsiTheme="majorEastAsia" w:eastAsiaTheme="majorEastAsia" w:cstheme="majorEastAsia"/>
                <w:strike w:val="0"/>
                <w:dstrike w:val="0"/>
                <w:kern w:val="0"/>
                <w:sz w:val="21"/>
                <w:szCs w:val="21"/>
                <w:highlight w:val="none"/>
              </w:rPr>
              <w:t>上运时装设防逆转装置和制动装置，下运时装设软制动装置且装设有防超速保护装置；大于16º的斜巷中使用带式输送机设置防护网，并采取防止物料下滑、滚落等安全措施；</w:t>
            </w:r>
            <w:r>
              <w:rPr>
                <w:rFonts w:hint="eastAsia" w:asciiTheme="majorEastAsia" w:hAnsiTheme="majorEastAsia" w:eastAsiaTheme="majorEastAsia" w:cstheme="majorEastAsia"/>
                <w:strike w:val="0"/>
                <w:dstrike w:val="0"/>
                <w:color w:val="FF0000"/>
                <w:kern w:val="0"/>
                <w:sz w:val="21"/>
                <w:szCs w:val="21"/>
                <w:highlight w:val="none"/>
              </w:rPr>
              <w:t>机头尾处设置有扫煤器；</w:t>
            </w:r>
            <w:r>
              <w:rPr>
                <w:rFonts w:hint="eastAsia" w:asciiTheme="majorEastAsia" w:hAnsiTheme="majorEastAsia" w:eastAsiaTheme="majorEastAsia" w:cstheme="majorEastAsia"/>
                <w:strike w:val="0"/>
                <w:dstrike w:val="0"/>
                <w:kern w:val="0"/>
                <w:sz w:val="21"/>
                <w:szCs w:val="21"/>
                <w:highlight w:val="none"/>
              </w:rPr>
              <w:t>支架编号管理；托辊齐全、运转正常；</w:t>
            </w:r>
          </w:p>
        </w:tc>
        <w:tc>
          <w:tcPr>
            <w:tcW w:w="2594" w:type="dxa"/>
            <w:tcBorders>
              <w:tl2br w:val="nil"/>
              <w:tr2bl w:val="nil"/>
            </w:tcBorders>
            <w:vAlign w:val="center"/>
          </w:tcPr>
          <w:p>
            <w:pPr>
              <w:widowControl/>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1174" w:type="dxa"/>
            <w:vMerge w:val="continue"/>
            <w:tcBorders>
              <w:tl2br w:val="nil"/>
              <w:tr2bl w:val="nil"/>
            </w:tcBorders>
            <w:textDirection w:val="tbRlV"/>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p>
        </w:tc>
        <w:tc>
          <w:tcPr>
            <w:tcW w:w="887"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辅助运输</w:t>
            </w:r>
          </w:p>
        </w:tc>
        <w:tc>
          <w:tcPr>
            <w:tcW w:w="5056" w:type="dxa"/>
            <w:tcBorders>
              <w:tl2br w:val="nil"/>
              <w:tr2bl w:val="nil"/>
            </w:tcBorders>
            <w:vAlign w:val="center"/>
          </w:tcPr>
          <w:p>
            <w:pPr>
              <w:widowControl/>
              <w:adjustRightInd w:val="0"/>
              <w:snapToGrid w:val="0"/>
              <w:jc w:val="left"/>
              <w:rPr>
                <w:rFonts w:hint="eastAsia" w:asciiTheme="majorEastAsia" w:hAnsiTheme="majorEastAsia" w:eastAsiaTheme="majorEastAsia" w:cstheme="majorEastAsia"/>
                <w:strike w:val="0"/>
                <w:dstrike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设备完好，制动可靠，</w:t>
            </w:r>
            <w:r>
              <w:rPr>
                <w:rFonts w:hint="eastAsia" w:asciiTheme="majorEastAsia" w:hAnsiTheme="majorEastAsia" w:eastAsiaTheme="majorEastAsia" w:cstheme="majorEastAsia"/>
                <w:strike w:val="0"/>
                <w:dstrike w:val="0"/>
                <w:color w:val="0070C0"/>
                <w:kern w:val="0"/>
                <w:sz w:val="21"/>
                <w:szCs w:val="21"/>
                <w:highlight w:val="none"/>
              </w:rPr>
              <w:t>安全设施有效，</w:t>
            </w:r>
            <w:r>
              <w:rPr>
                <w:rFonts w:hint="eastAsia" w:asciiTheme="majorEastAsia" w:hAnsiTheme="majorEastAsia" w:eastAsiaTheme="majorEastAsia" w:cstheme="majorEastAsia"/>
                <w:strike w:val="0"/>
                <w:dstrike w:val="0"/>
                <w:kern w:val="0"/>
                <w:sz w:val="21"/>
                <w:szCs w:val="21"/>
                <w:highlight w:val="none"/>
              </w:rPr>
              <w:t>声光信号齐全；</w:t>
            </w:r>
            <w:r>
              <w:rPr>
                <w:rFonts w:hint="eastAsia" w:asciiTheme="majorEastAsia" w:hAnsiTheme="majorEastAsia" w:eastAsiaTheme="majorEastAsia" w:cstheme="majorEastAsia"/>
                <w:strike w:val="0"/>
                <w:dstrike w:val="0"/>
                <w:color w:val="0070C0"/>
                <w:kern w:val="0"/>
                <w:sz w:val="21"/>
                <w:szCs w:val="21"/>
                <w:highlight w:val="none"/>
              </w:rPr>
              <w:t>倾斜巷道阻车装置有效；运输巷与运输设备突出部分的最小间距、</w:t>
            </w:r>
            <w:r>
              <w:rPr>
                <w:rFonts w:hint="eastAsia" w:asciiTheme="majorEastAsia" w:hAnsiTheme="majorEastAsia" w:eastAsiaTheme="majorEastAsia" w:cstheme="majorEastAsia"/>
                <w:strike w:val="0"/>
                <w:dstrike w:val="0"/>
                <w:kern w:val="0"/>
                <w:sz w:val="21"/>
                <w:szCs w:val="21"/>
                <w:highlight w:val="none"/>
              </w:rPr>
              <w:t>钢丝绳及其使用符合《煤矿安全规程》要求</w:t>
            </w:r>
          </w:p>
        </w:tc>
        <w:tc>
          <w:tcPr>
            <w:tcW w:w="4225"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5.轨道运输设备安设符合要求，制动可靠，声光信号齐全；</w:t>
            </w:r>
            <w:r>
              <w:rPr>
                <w:rFonts w:hint="eastAsia" w:asciiTheme="majorEastAsia" w:hAnsiTheme="majorEastAsia" w:eastAsiaTheme="majorEastAsia" w:cstheme="majorEastAsia"/>
                <w:strike w:val="0"/>
                <w:dstrike w:val="0"/>
                <w:color w:val="FF0000"/>
                <w:kern w:val="0"/>
                <w:sz w:val="21"/>
                <w:szCs w:val="21"/>
                <w:highlight w:val="none"/>
              </w:rPr>
              <w:t>轨道铺设符合要求</w:t>
            </w:r>
            <w:r>
              <w:rPr>
                <w:rFonts w:hint="eastAsia" w:asciiTheme="majorEastAsia" w:hAnsiTheme="majorEastAsia" w:eastAsiaTheme="majorEastAsia" w:cstheme="majorEastAsia"/>
                <w:strike w:val="0"/>
                <w:dstrike w:val="0"/>
                <w:kern w:val="0"/>
                <w:sz w:val="21"/>
                <w:szCs w:val="21"/>
                <w:highlight w:val="none"/>
              </w:rPr>
              <w:t>；钢丝绳及其使用符合《煤矿安全规程》要求；</w:t>
            </w:r>
            <w:r>
              <w:rPr>
                <w:rFonts w:hint="eastAsia" w:asciiTheme="majorEastAsia" w:hAnsiTheme="majorEastAsia" w:eastAsiaTheme="majorEastAsia" w:cstheme="majorEastAsia"/>
                <w:strike w:val="0"/>
                <w:dstrike w:val="0"/>
                <w:color w:val="FF0000"/>
                <w:kern w:val="0"/>
                <w:sz w:val="21"/>
                <w:szCs w:val="21"/>
                <w:highlight w:val="none"/>
              </w:rPr>
              <w:t>其他辅助运输设备符合规定</w:t>
            </w: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jc w:val="center"/>
        </w:trPr>
        <w:tc>
          <w:tcPr>
            <w:tcW w:w="1174" w:type="dxa"/>
            <w:vMerge w:val="continue"/>
            <w:tcBorders>
              <w:tl2br w:val="nil"/>
              <w:tr2bl w:val="nil"/>
            </w:tcBorders>
            <w:textDirection w:val="tbRlV"/>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p>
        </w:tc>
        <w:tc>
          <w:tcPr>
            <w:tcW w:w="887"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通信系统</w:t>
            </w:r>
          </w:p>
        </w:tc>
        <w:tc>
          <w:tcPr>
            <w:tcW w:w="5056" w:type="dxa"/>
            <w:tcBorders>
              <w:tl2br w:val="nil"/>
              <w:tr2bl w:val="nil"/>
            </w:tcBorders>
            <w:vAlign w:val="center"/>
          </w:tcPr>
          <w:p>
            <w:pPr>
              <w:widowControl/>
              <w:adjustRightInd w:val="0"/>
              <w:snapToGrid w:val="0"/>
              <w:jc w:val="left"/>
              <w:rPr>
                <w:rFonts w:hint="eastAsia" w:asciiTheme="majorEastAsia" w:hAnsiTheme="majorEastAsia" w:eastAsiaTheme="majorEastAsia" w:cstheme="majorEastAsia"/>
                <w:strike w:val="0"/>
                <w:dstrike w:val="0"/>
                <w:color w:val="0070C0"/>
                <w:kern w:val="0"/>
                <w:sz w:val="21"/>
                <w:szCs w:val="21"/>
                <w:highlight w:val="none"/>
              </w:rPr>
            </w:pPr>
            <w:r>
              <w:rPr>
                <w:rFonts w:hint="eastAsia" w:asciiTheme="majorEastAsia" w:hAnsiTheme="majorEastAsia" w:eastAsiaTheme="majorEastAsia" w:cstheme="majorEastAsia"/>
                <w:strike w:val="0"/>
                <w:dstrike w:val="0"/>
                <w:color w:val="0070C0"/>
                <w:sz w:val="21"/>
                <w:szCs w:val="21"/>
                <w:highlight w:val="none"/>
              </w:rPr>
              <w:t>通信系统畅通，各转载点有语音通信装置</w:t>
            </w:r>
          </w:p>
        </w:tc>
        <w:tc>
          <w:tcPr>
            <w:tcW w:w="4225"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r>
              <w:rPr>
                <w:rFonts w:hint="eastAsia" w:asciiTheme="majorEastAsia" w:hAnsiTheme="majorEastAsia" w:eastAsiaTheme="majorEastAsia" w:cstheme="majorEastAsia"/>
                <w:strike w:val="0"/>
                <w:dstrike w:val="0"/>
                <w:color w:val="auto"/>
                <w:kern w:val="0"/>
                <w:sz w:val="21"/>
                <w:szCs w:val="21"/>
                <w:highlight w:val="none"/>
              </w:rPr>
              <w:t>新增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194" w:hRule="atLeast"/>
          <w:jc w:val="center"/>
        </w:trPr>
        <w:tc>
          <w:tcPr>
            <w:tcW w:w="1174" w:type="dxa"/>
            <w:vMerge w:val="continue"/>
            <w:tcBorders>
              <w:tl2br w:val="nil"/>
              <w:tr2bl w:val="nil"/>
            </w:tcBorders>
            <w:textDirection w:val="tbRlV"/>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p>
        </w:tc>
        <w:tc>
          <w:tcPr>
            <w:tcW w:w="887"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电气</w:t>
            </w:r>
          </w:p>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设备</w:t>
            </w:r>
          </w:p>
        </w:tc>
        <w:tc>
          <w:tcPr>
            <w:tcW w:w="5056"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color w:val="0070C0"/>
                <w:kern w:val="0"/>
                <w:sz w:val="21"/>
                <w:szCs w:val="21"/>
                <w:highlight w:val="none"/>
              </w:rPr>
            </w:pPr>
            <w:r>
              <w:rPr>
                <w:rFonts w:hint="eastAsia" w:asciiTheme="majorEastAsia" w:hAnsiTheme="majorEastAsia" w:eastAsiaTheme="majorEastAsia" w:cstheme="majorEastAsia"/>
                <w:strike w:val="0"/>
                <w:dstrike w:val="0"/>
                <w:color w:val="0070C0"/>
                <w:kern w:val="0"/>
                <w:sz w:val="21"/>
                <w:szCs w:val="21"/>
                <w:highlight w:val="none"/>
              </w:rPr>
              <w:t>小型电器排列整齐，性能完好；移动变电站完好；接地保护规范有效；开关上架，电气设备不被淋水</w:t>
            </w:r>
          </w:p>
        </w:tc>
        <w:tc>
          <w:tcPr>
            <w:tcW w:w="4225"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r>
              <w:rPr>
                <w:rFonts w:hint="eastAsia" w:asciiTheme="majorEastAsia" w:hAnsiTheme="majorEastAsia" w:eastAsiaTheme="majorEastAsia" w:cstheme="majorEastAsia"/>
                <w:strike w:val="0"/>
                <w:dstrike w:val="0"/>
                <w:color w:val="auto"/>
                <w:kern w:val="0"/>
                <w:sz w:val="21"/>
                <w:szCs w:val="21"/>
                <w:highlight w:val="none"/>
              </w:rPr>
              <w:t>新增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24" w:hRule="atLeast"/>
          <w:jc w:val="center"/>
        </w:trPr>
        <w:tc>
          <w:tcPr>
            <w:tcW w:w="1174" w:type="dxa"/>
            <w:vMerge w:val="restart"/>
            <w:tcBorders>
              <w:tl2br w:val="nil"/>
              <w:tr2bl w:val="nil"/>
            </w:tcBorders>
            <w:textDirection w:val="tbRlV"/>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四、文明生产（8分）</w:t>
            </w:r>
          </w:p>
        </w:tc>
        <w:tc>
          <w:tcPr>
            <w:tcW w:w="887"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照明管理</w:t>
            </w:r>
          </w:p>
        </w:tc>
        <w:tc>
          <w:tcPr>
            <w:tcW w:w="5056"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车场、</w:t>
            </w:r>
            <w:r>
              <w:rPr>
                <w:rFonts w:hint="eastAsia" w:asciiTheme="majorEastAsia" w:hAnsiTheme="majorEastAsia" w:eastAsiaTheme="majorEastAsia" w:cstheme="majorEastAsia"/>
                <w:strike w:val="0"/>
                <w:dstrike w:val="0"/>
                <w:color w:val="0070C0"/>
                <w:kern w:val="0"/>
                <w:sz w:val="21"/>
                <w:szCs w:val="21"/>
                <w:highlight w:val="none"/>
              </w:rPr>
              <w:t>配电</w:t>
            </w:r>
            <w:r>
              <w:rPr>
                <w:rFonts w:hint="eastAsia" w:asciiTheme="majorEastAsia" w:hAnsiTheme="majorEastAsia" w:eastAsiaTheme="majorEastAsia" w:cstheme="majorEastAsia"/>
                <w:strike w:val="0"/>
                <w:dstrike w:val="0"/>
                <w:kern w:val="0"/>
                <w:sz w:val="21"/>
                <w:szCs w:val="21"/>
                <w:highlight w:val="none"/>
              </w:rPr>
              <w:t>硐室、转载点、休息地点、</w:t>
            </w:r>
            <w:r>
              <w:rPr>
                <w:rFonts w:hint="eastAsia" w:asciiTheme="majorEastAsia" w:hAnsiTheme="majorEastAsia" w:eastAsiaTheme="majorEastAsia" w:cstheme="majorEastAsia"/>
                <w:strike w:val="0"/>
                <w:dstrike w:val="0"/>
                <w:color w:val="0070C0"/>
                <w:kern w:val="0"/>
                <w:sz w:val="21"/>
                <w:szCs w:val="21"/>
                <w:highlight w:val="none"/>
              </w:rPr>
              <w:t>施工</w:t>
            </w:r>
            <w:r>
              <w:rPr>
                <w:rFonts w:hint="eastAsia" w:asciiTheme="majorEastAsia" w:hAnsiTheme="majorEastAsia" w:eastAsiaTheme="majorEastAsia" w:cstheme="majorEastAsia"/>
                <w:strike w:val="0"/>
                <w:dstrike w:val="0"/>
                <w:kern w:val="0"/>
                <w:sz w:val="21"/>
                <w:szCs w:val="21"/>
                <w:highlight w:val="none"/>
              </w:rPr>
              <w:t>图牌板、</w:t>
            </w:r>
            <w:r>
              <w:rPr>
                <w:rFonts w:hint="eastAsia" w:asciiTheme="majorEastAsia" w:hAnsiTheme="majorEastAsia" w:eastAsiaTheme="majorEastAsia" w:cstheme="majorEastAsia"/>
                <w:strike w:val="0"/>
                <w:dstrike w:val="0"/>
                <w:color w:val="0070C0"/>
                <w:kern w:val="0"/>
                <w:sz w:val="21"/>
                <w:szCs w:val="21"/>
                <w:highlight w:val="none"/>
              </w:rPr>
              <w:t>带式输送机机头和机尾以及耙装机、挖掘机作业区域</w:t>
            </w:r>
            <w:r>
              <w:rPr>
                <w:rFonts w:hint="eastAsia" w:asciiTheme="majorEastAsia" w:hAnsiTheme="majorEastAsia" w:eastAsiaTheme="majorEastAsia" w:cstheme="majorEastAsia"/>
                <w:strike w:val="0"/>
                <w:dstrike w:val="0"/>
                <w:kern w:val="0"/>
                <w:sz w:val="21"/>
                <w:szCs w:val="21"/>
                <w:highlight w:val="none"/>
              </w:rPr>
              <w:t>等场所有照明；</w:t>
            </w:r>
            <w:r>
              <w:rPr>
                <w:rFonts w:hint="eastAsia" w:asciiTheme="majorEastAsia" w:hAnsiTheme="majorEastAsia" w:eastAsiaTheme="majorEastAsia" w:cstheme="majorEastAsia"/>
                <w:strike w:val="0"/>
                <w:dstrike w:val="0"/>
                <w:color w:val="0070C0"/>
                <w:kern w:val="0"/>
                <w:sz w:val="21"/>
                <w:szCs w:val="21"/>
                <w:highlight w:val="none"/>
              </w:rPr>
              <w:t>掘进工作面距迎头100m范围照明间距不大于30m</w:t>
            </w:r>
          </w:p>
        </w:tc>
        <w:tc>
          <w:tcPr>
            <w:tcW w:w="4225"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转载点、休息地点、车场、图牌板及硐室等场所照明符合要求</w:t>
            </w: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672" w:hRule="atLeast"/>
          <w:jc w:val="center"/>
        </w:trPr>
        <w:tc>
          <w:tcPr>
            <w:tcW w:w="1174" w:type="dxa"/>
            <w:vMerge w:val="continue"/>
            <w:tcBorders>
              <w:tl2br w:val="nil"/>
              <w:tr2bl w:val="nil"/>
            </w:tcBorders>
            <w:textDirection w:val="tbRlV"/>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p>
        </w:tc>
        <w:tc>
          <w:tcPr>
            <w:tcW w:w="887"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牌板管理</w:t>
            </w:r>
          </w:p>
        </w:tc>
        <w:tc>
          <w:tcPr>
            <w:tcW w:w="5056"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1.材料、设备有标志牌；</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2.作业场所巷道平面布置图、施工断面图、</w:t>
            </w:r>
            <w:r>
              <w:rPr>
                <w:rFonts w:hint="eastAsia" w:asciiTheme="majorEastAsia" w:hAnsiTheme="majorEastAsia" w:eastAsiaTheme="majorEastAsia" w:cstheme="majorEastAsia"/>
                <w:strike w:val="0"/>
                <w:dstrike w:val="0"/>
                <w:color w:val="0070C0"/>
                <w:kern w:val="0"/>
                <w:sz w:val="21"/>
                <w:szCs w:val="21"/>
                <w:highlight w:val="none"/>
              </w:rPr>
              <w:t>断面截割轨迹图</w:t>
            </w:r>
            <w:r>
              <w:rPr>
                <w:rFonts w:hint="eastAsia" w:asciiTheme="majorEastAsia" w:hAnsiTheme="majorEastAsia" w:eastAsiaTheme="majorEastAsia" w:cstheme="majorEastAsia"/>
                <w:strike w:val="0"/>
                <w:dstrike w:val="0"/>
                <w:kern w:val="0"/>
                <w:sz w:val="21"/>
                <w:szCs w:val="21"/>
                <w:highlight w:val="none"/>
              </w:rPr>
              <w:t>（炮眼布置图）、正规循环作业图表、避灾路线图等图牌板齐全、清晰；</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3.巷道至少每100m设置醒目的里程标志</w:t>
            </w:r>
          </w:p>
        </w:tc>
        <w:tc>
          <w:tcPr>
            <w:tcW w:w="4225"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作业场所安设巷道平面布置图、施工断面图、炮眼布置图、爆破说明书(断面截割轨迹图)、正规循环作业图表、避灾路线图、</w:t>
            </w:r>
            <w:r>
              <w:rPr>
                <w:rFonts w:hint="eastAsia" w:asciiTheme="majorEastAsia" w:hAnsiTheme="majorEastAsia" w:eastAsiaTheme="majorEastAsia" w:cstheme="majorEastAsia"/>
                <w:strike w:val="0"/>
                <w:dstrike w:val="0"/>
                <w:color w:val="FF0000"/>
                <w:kern w:val="0"/>
                <w:sz w:val="21"/>
                <w:szCs w:val="21"/>
                <w:highlight w:val="none"/>
              </w:rPr>
              <w:t>临时支护图</w:t>
            </w:r>
            <w:r>
              <w:rPr>
                <w:rFonts w:hint="eastAsia" w:asciiTheme="majorEastAsia" w:hAnsiTheme="majorEastAsia" w:eastAsiaTheme="majorEastAsia" w:cstheme="majorEastAsia"/>
                <w:strike w:val="0"/>
                <w:dstrike w:val="0"/>
                <w:kern w:val="0"/>
                <w:sz w:val="21"/>
                <w:szCs w:val="21"/>
                <w:highlight w:val="none"/>
              </w:rPr>
              <w:t>，图牌板内容齐全、图文清晰、</w:t>
            </w:r>
            <w:r>
              <w:rPr>
                <w:rFonts w:hint="eastAsia" w:asciiTheme="majorEastAsia" w:hAnsiTheme="majorEastAsia" w:eastAsiaTheme="majorEastAsia" w:cstheme="majorEastAsia"/>
                <w:strike w:val="0"/>
                <w:dstrike w:val="0"/>
                <w:color w:val="FF0000"/>
                <w:kern w:val="0"/>
                <w:sz w:val="21"/>
                <w:szCs w:val="21"/>
                <w:highlight w:val="none"/>
              </w:rPr>
              <w:t>正确、保护完好，安设位置便于观看</w:t>
            </w: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961" w:hRule="atLeast"/>
          <w:jc w:val="center"/>
        </w:trPr>
        <w:tc>
          <w:tcPr>
            <w:tcW w:w="1174" w:type="dxa"/>
            <w:vMerge w:val="continue"/>
            <w:tcBorders>
              <w:tl2br w:val="nil"/>
              <w:tr2bl w:val="nil"/>
            </w:tcBorders>
            <w:textDirection w:val="tbRlV"/>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p>
        </w:tc>
        <w:tc>
          <w:tcPr>
            <w:tcW w:w="887"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作业环境</w:t>
            </w:r>
          </w:p>
        </w:tc>
        <w:tc>
          <w:tcPr>
            <w:tcW w:w="5056"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1.物料分类码放整齐；电缆、管路吊挂规范；</w:t>
            </w:r>
            <w:r>
              <w:rPr>
                <w:rFonts w:hint="eastAsia" w:asciiTheme="majorEastAsia" w:hAnsiTheme="majorEastAsia" w:eastAsiaTheme="majorEastAsia" w:cstheme="majorEastAsia"/>
                <w:strike w:val="0"/>
                <w:dstrike w:val="0"/>
                <w:color w:val="0070C0"/>
                <w:kern w:val="0"/>
                <w:sz w:val="21"/>
                <w:szCs w:val="21"/>
                <w:highlight w:val="none"/>
              </w:rPr>
              <w:t>管路、设备</w:t>
            </w:r>
            <w:r>
              <w:rPr>
                <w:rFonts w:hint="eastAsia" w:asciiTheme="majorEastAsia" w:hAnsiTheme="majorEastAsia" w:eastAsiaTheme="majorEastAsia" w:cstheme="majorEastAsia"/>
                <w:strike w:val="0"/>
                <w:dstrike w:val="0"/>
                <w:kern w:val="0"/>
                <w:sz w:val="21"/>
                <w:szCs w:val="21"/>
                <w:highlight w:val="none"/>
              </w:rPr>
              <w:t>无积尘；</w:t>
            </w:r>
            <w:r>
              <w:rPr>
                <w:rFonts w:hint="eastAsia" w:asciiTheme="majorEastAsia" w:hAnsiTheme="majorEastAsia" w:eastAsiaTheme="majorEastAsia" w:cstheme="majorEastAsia"/>
                <w:strike w:val="0"/>
                <w:dstrike w:val="0"/>
                <w:color w:val="0070C0"/>
                <w:kern w:val="0"/>
                <w:sz w:val="21"/>
                <w:szCs w:val="21"/>
                <w:highlight w:val="none"/>
              </w:rPr>
              <w:t>各转载点有喷雾降尘装置；</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2.</w:t>
            </w:r>
            <w:r>
              <w:rPr>
                <w:rFonts w:hint="eastAsia" w:asciiTheme="majorEastAsia" w:hAnsiTheme="majorEastAsia" w:eastAsiaTheme="majorEastAsia" w:cstheme="majorEastAsia"/>
                <w:strike w:val="0"/>
                <w:dstrike w:val="0"/>
                <w:color w:val="0070C0"/>
                <w:kern w:val="0"/>
                <w:sz w:val="21"/>
                <w:szCs w:val="21"/>
                <w:highlight w:val="none"/>
              </w:rPr>
              <w:t>巷道及硐室底板平整</w:t>
            </w:r>
            <w:r>
              <w:rPr>
                <w:rFonts w:hint="eastAsia" w:asciiTheme="majorEastAsia" w:hAnsiTheme="majorEastAsia" w:eastAsiaTheme="majorEastAsia" w:cstheme="majorEastAsia"/>
                <w:strike w:val="0"/>
                <w:dstrike w:val="0"/>
                <w:kern w:val="0"/>
                <w:sz w:val="21"/>
                <w:szCs w:val="21"/>
                <w:highlight w:val="none"/>
              </w:rPr>
              <w:t>，无浮碴及杂物，无淤泥，无积水</w:t>
            </w:r>
          </w:p>
        </w:tc>
        <w:tc>
          <w:tcPr>
            <w:tcW w:w="4225"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1.</w:t>
            </w:r>
            <w:r>
              <w:rPr>
                <w:rFonts w:hint="eastAsia" w:asciiTheme="majorEastAsia" w:hAnsiTheme="majorEastAsia" w:eastAsiaTheme="majorEastAsia" w:cstheme="majorEastAsia"/>
                <w:strike w:val="0"/>
                <w:dstrike w:val="0"/>
                <w:color w:val="FF0000"/>
                <w:kern w:val="0"/>
                <w:sz w:val="21"/>
                <w:szCs w:val="21"/>
                <w:highlight w:val="none"/>
              </w:rPr>
              <w:t>现场整洁，</w:t>
            </w:r>
            <w:r>
              <w:rPr>
                <w:rFonts w:hint="eastAsia" w:asciiTheme="majorEastAsia" w:hAnsiTheme="majorEastAsia" w:eastAsiaTheme="majorEastAsia" w:cstheme="majorEastAsia"/>
                <w:strike w:val="0"/>
                <w:dstrike w:val="0"/>
                <w:kern w:val="0"/>
                <w:sz w:val="21"/>
                <w:szCs w:val="21"/>
                <w:highlight w:val="none"/>
              </w:rPr>
              <w:t>无积尘、浮渣、淤泥、积水、杂物等，</w:t>
            </w:r>
            <w:r>
              <w:rPr>
                <w:rFonts w:hint="eastAsia" w:asciiTheme="majorEastAsia" w:hAnsiTheme="majorEastAsia" w:eastAsiaTheme="majorEastAsia" w:cstheme="majorEastAsia"/>
                <w:strike w:val="0"/>
                <w:dstrike w:val="0"/>
                <w:color w:val="FF0000"/>
                <w:kern w:val="0"/>
                <w:sz w:val="21"/>
                <w:szCs w:val="21"/>
                <w:highlight w:val="none"/>
              </w:rPr>
              <w:t>设备清洁，</w:t>
            </w:r>
            <w:r>
              <w:rPr>
                <w:rFonts w:hint="eastAsia" w:asciiTheme="majorEastAsia" w:hAnsiTheme="majorEastAsia" w:eastAsiaTheme="majorEastAsia" w:cstheme="majorEastAsia"/>
                <w:strike w:val="0"/>
                <w:dstrike w:val="0"/>
                <w:kern w:val="0"/>
                <w:sz w:val="21"/>
                <w:szCs w:val="21"/>
                <w:highlight w:val="none"/>
              </w:rPr>
              <w:t>物料分类、</w:t>
            </w:r>
            <w:r>
              <w:rPr>
                <w:rFonts w:hint="eastAsia" w:asciiTheme="majorEastAsia" w:hAnsiTheme="majorEastAsia" w:eastAsiaTheme="majorEastAsia" w:cstheme="majorEastAsia"/>
                <w:strike w:val="0"/>
                <w:dstrike w:val="0"/>
                <w:color w:val="FF0000"/>
                <w:kern w:val="0"/>
                <w:sz w:val="21"/>
                <w:szCs w:val="21"/>
                <w:highlight w:val="none"/>
              </w:rPr>
              <w:t>集中</w:t>
            </w:r>
            <w:r>
              <w:rPr>
                <w:rFonts w:hint="eastAsia" w:asciiTheme="majorEastAsia" w:hAnsiTheme="majorEastAsia" w:eastAsiaTheme="majorEastAsia" w:cstheme="majorEastAsia"/>
                <w:strike w:val="0"/>
                <w:dstrike w:val="0"/>
                <w:kern w:val="0"/>
                <w:sz w:val="21"/>
                <w:szCs w:val="21"/>
                <w:highlight w:val="none"/>
              </w:rPr>
              <w:t>码放整齐，管线吊挂规范；</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2.材料、设备标志牌齐全、</w:t>
            </w:r>
            <w:r>
              <w:rPr>
                <w:rFonts w:hint="eastAsia" w:asciiTheme="majorEastAsia" w:hAnsiTheme="majorEastAsia" w:eastAsiaTheme="majorEastAsia" w:cstheme="majorEastAsia"/>
                <w:strike w:val="0"/>
                <w:dstrike w:val="0"/>
                <w:color w:val="FF0000"/>
                <w:kern w:val="0"/>
                <w:sz w:val="21"/>
                <w:szCs w:val="21"/>
                <w:highlight w:val="none"/>
              </w:rPr>
              <w:t>清晰、准确，设备摆放、物料码放与胶带、轨道等留有足够的安全间隙；</w:t>
            </w:r>
          </w:p>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3.巷道至少每100m设置醒目的里程标志</w:t>
            </w: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626" w:hRule="atLeast"/>
          <w:jc w:val="center"/>
        </w:trPr>
        <w:tc>
          <w:tcPr>
            <w:tcW w:w="1174" w:type="dxa"/>
            <w:tcBorders>
              <w:tl2br w:val="nil"/>
              <w:tr2bl w:val="nil"/>
            </w:tcBorders>
            <w:textDirection w:val="tbRlV"/>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五、职工素质及岗位规范(10分)</w:t>
            </w:r>
          </w:p>
        </w:tc>
        <w:tc>
          <w:tcPr>
            <w:tcW w:w="887"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管理技术人员</w:t>
            </w:r>
          </w:p>
        </w:tc>
        <w:tc>
          <w:tcPr>
            <w:tcW w:w="5056"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p>
        </w:tc>
        <w:tc>
          <w:tcPr>
            <w:tcW w:w="4225" w:type="dxa"/>
            <w:tcBorders>
              <w:tl2br w:val="nil"/>
              <w:tr2bl w:val="nil"/>
            </w:tcBorders>
            <w:shd w:val="clear" w:color="auto" w:fill="auto"/>
            <w:vAlign w:val="center"/>
          </w:tcPr>
          <w:p>
            <w:pPr>
              <w:adjustRightInd w:val="0"/>
              <w:snapToGrid w:val="0"/>
              <w:rPr>
                <w:rFonts w:hint="eastAsia" w:asciiTheme="majorEastAsia" w:hAnsiTheme="majorEastAsia" w:eastAsiaTheme="majorEastAsia" w:cstheme="majorEastAsia"/>
                <w:strike w:val="0"/>
                <w:dstrike w:val="0"/>
                <w:color w:val="FF0000"/>
                <w:kern w:val="0"/>
                <w:sz w:val="21"/>
                <w:szCs w:val="21"/>
                <w:highlight w:val="none"/>
              </w:rPr>
            </w:pPr>
            <w:r>
              <w:rPr>
                <w:rFonts w:hint="eastAsia" w:asciiTheme="majorEastAsia" w:hAnsiTheme="majorEastAsia" w:eastAsiaTheme="majorEastAsia" w:cstheme="majorEastAsia"/>
                <w:strike w:val="0"/>
                <w:dstrike w:val="0"/>
                <w:color w:val="FF0000"/>
                <w:kern w:val="0"/>
                <w:sz w:val="21"/>
                <w:szCs w:val="21"/>
                <w:highlight w:val="none"/>
              </w:rPr>
              <w:t>1.区（队）管理和技术人员掌握相关的岗位职责、管理制度、技术措施</w:t>
            </w: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r>
              <w:rPr>
                <w:rFonts w:hint="eastAsia" w:asciiTheme="majorEastAsia" w:hAnsiTheme="majorEastAsia" w:eastAsiaTheme="majorEastAsia" w:cstheme="majorEastAsia"/>
                <w:strike w:val="0"/>
                <w:dstrike w:val="0"/>
                <w:color w:val="auto"/>
                <w:kern w:val="0"/>
                <w:sz w:val="21"/>
                <w:szCs w:val="21"/>
                <w:highlight w:val="none"/>
              </w:rPr>
              <w:t>删除</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685" w:hRule="atLeast"/>
          <w:jc w:val="center"/>
        </w:trPr>
        <w:tc>
          <w:tcPr>
            <w:tcW w:w="1174" w:type="dxa"/>
            <w:tcBorders>
              <w:tl2br w:val="nil"/>
              <w:tr2bl w:val="nil"/>
            </w:tcBorders>
            <w:textDirection w:val="tbRlV"/>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p>
        </w:tc>
        <w:tc>
          <w:tcPr>
            <w:tcW w:w="887"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作业人员</w:t>
            </w:r>
          </w:p>
        </w:tc>
        <w:tc>
          <w:tcPr>
            <w:tcW w:w="5056"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p>
        </w:tc>
        <w:tc>
          <w:tcPr>
            <w:tcW w:w="4225" w:type="dxa"/>
            <w:tcBorders>
              <w:tl2br w:val="nil"/>
              <w:tr2bl w:val="nil"/>
            </w:tcBorders>
            <w:shd w:val="clear" w:color="auto" w:fill="auto"/>
            <w:vAlign w:val="center"/>
          </w:tcPr>
          <w:p>
            <w:pPr>
              <w:adjustRightInd w:val="0"/>
              <w:snapToGrid w:val="0"/>
              <w:rPr>
                <w:rFonts w:hint="eastAsia" w:asciiTheme="majorEastAsia" w:hAnsiTheme="majorEastAsia" w:eastAsiaTheme="majorEastAsia" w:cstheme="majorEastAsia"/>
                <w:strike w:val="0"/>
                <w:dstrike w:val="0"/>
                <w:color w:val="FF0000"/>
                <w:kern w:val="0"/>
                <w:sz w:val="21"/>
                <w:szCs w:val="21"/>
                <w:highlight w:val="none"/>
              </w:rPr>
            </w:pPr>
            <w:r>
              <w:rPr>
                <w:rFonts w:hint="eastAsia" w:asciiTheme="majorEastAsia" w:hAnsiTheme="majorEastAsia" w:eastAsiaTheme="majorEastAsia" w:cstheme="majorEastAsia"/>
                <w:strike w:val="0"/>
                <w:dstrike w:val="0"/>
                <w:color w:val="FF0000"/>
                <w:kern w:val="0"/>
                <w:sz w:val="21"/>
                <w:szCs w:val="21"/>
                <w:highlight w:val="none"/>
              </w:rPr>
              <w:t>2.班组长及现场作业人员严格执行本岗位安全生产责任制；掌握本岗位相应的操作规程、安全措施；规范操作，无“三违”行为；作业前进行岗位安全风险辨识及安全确认；零星工程有针对性措施，有管理人员跟班</w:t>
            </w: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r>
              <w:rPr>
                <w:rFonts w:hint="eastAsia" w:asciiTheme="majorEastAsia" w:hAnsiTheme="majorEastAsia" w:eastAsiaTheme="majorEastAsia" w:cstheme="majorEastAsia"/>
                <w:strike w:val="0"/>
                <w:dstrike w:val="0"/>
                <w:color w:val="auto"/>
                <w:kern w:val="0"/>
                <w:sz w:val="21"/>
                <w:szCs w:val="21"/>
                <w:highlight w:val="none"/>
              </w:rPr>
              <w:t>删除</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jc w:val="center"/>
        </w:trPr>
        <w:tc>
          <w:tcPr>
            <w:tcW w:w="1174" w:type="dxa"/>
            <w:vMerge w:val="restart"/>
            <w:tcBorders>
              <w:tl2br w:val="nil"/>
              <w:tr2bl w:val="nil"/>
            </w:tcBorders>
            <w:textDirection w:val="tbRlV"/>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附加项</w:t>
            </w:r>
          </w:p>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（2分）</w:t>
            </w:r>
          </w:p>
        </w:tc>
        <w:tc>
          <w:tcPr>
            <w:tcW w:w="887"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技术进步</w:t>
            </w:r>
          </w:p>
        </w:tc>
        <w:tc>
          <w:tcPr>
            <w:tcW w:w="5056"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color w:val="0070C0"/>
                <w:kern w:val="0"/>
                <w:sz w:val="21"/>
                <w:szCs w:val="21"/>
                <w:highlight w:val="none"/>
              </w:rPr>
              <w:t>建成智能化掘进工作面并正常运行</w:t>
            </w:r>
          </w:p>
        </w:tc>
        <w:tc>
          <w:tcPr>
            <w:tcW w:w="4225" w:type="dxa"/>
            <w:tcBorders>
              <w:tl2br w:val="nil"/>
              <w:tr2bl w:val="nil"/>
            </w:tcBorders>
            <w:vAlign w:val="center"/>
          </w:tcPr>
          <w:p>
            <w:pPr>
              <w:adjustRightInd w:val="0"/>
              <w:snapToGrid w:val="0"/>
              <w:rPr>
                <w:rFonts w:hint="eastAsia" w:asciiTheme="majorEastAsia" w:hAnsiTheme="majorEastAsia" w:eastAsiaTheme="majorEastAsia" w:cstheme="majorEastAsia"/>
                <w:strike w:val="0"/>
                <w:dstrike w:val="0"/>
                <w:kern w:val="0"/>
                <w:sz w:val="21"/>
                <w:szCs w:val="21"/>
                <w:highlight w:val="none"/>
              </w:rPr>
            </w:pP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r>
              <w:rPr>
                <w:rFonts w:hint="eastAsia" w:asciiTheme="majorEastAsia" w:hAnsiTheme="majorEastAsia" w:eastAsiaTheme="majorEastAsia" w:cstheme="majorEastAsia"/>
                <w:strike w:val="0"/>
                <w:dstrike w:val="0"/>
                <w:color w:val="auto"/>
                <w:kern w:val="0"/>
                <w:sz w:val="21"/>
                <w:szCs w:val="21"/>
                <w:highlight w:val="none"/>
              </w:rPr>
              <w:t>新增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jc w:val="center"/>
        </w:trPr>
        <w:tc>
          <w:tcPr>
            <w:tcW w:w="1174" w:type="dxa"/>
            <w:vMerge w:val="continue"/>
            <w:tcBorders>
              <w:tl2br w:val="nil"/>
              <w:tr2bl w:val="nil"/>
            </w:tcBorders>
            <w:textDirection w:val="tbRlV"/>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p>
        </w:tc>
        <w:tc>
          <w:tcPr>
            <w:tcW w:w="887"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无损检测</w:t>
            </w:r>
          </w:p>
        </w:tc>
        <w:tc>
          <w:tcPr>
            <w:tcW w:w="5056"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p>
        </w:tc>
        <w:tc>
          <w:tcPr>
            <w:tcW w:w="4225"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color w:val="FF0000"/>
                <w:kern w:val="0"/>
                <w:sz w:val="21"/>
                <w:szCs w:val="21"/>
                <w:highlight w:val="none"/>
              </w:rPr>
              <w:t>掘进工作面采用锚杆锚固质量无损检测技术</w:t>
            </w: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r>
              <w:rPr>
                <w:rFonts w:hint="eastAsia" w:asciiTheme="majorEastAsia" w:hAnsiTheme="majorEastAsia" w:eastAsiaTheme="majorEastAsia" w:cstheme="majorEastAsia"/>
                <w:strike w:val="0"/>
                <w:dstrike w:val="0"/>
                <w:color w:val="auto"/>
                <w:kern w:val="0"/>
                <w:sz w:val="21"/>
                <w:szCs w:val="21"/>
                <w:highlight w:val="none"/>
              </w:rPr>
              <w:t>删除</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170" w:hRule="atLeast"/>
          <w:jc w:val="center"/>
        </w:trPr>
        <w:tc>
          <w:tcPr>
            <w:tcW w:w="1174" w:type="dxa"/>
            <w:vMerge w:val="continue"/>
            <w:tcBorders>
              <w:tl2br w:val="nil"/>
              <w:tr2bl w:val="nil"/>
            </w:tcBorders>
            <w:textDirection w:val="tbRlV"/>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p>
        </w:tc>
        <w:tc>
          <w:tcPr>
            <w:tcW w:w="887"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r>
              <w:rPr>
                <w:rFonts w:hint="eastAsia" w:asciiTheme="majorEastAsia" w:hAnsiTheme="majorEastAsia" w:eastAsiaTheme="majorEastAsia" w:cstheme="majorEastAsia"/>
                <w:strike w:val="0"/>
                <w:dstrike w:val="0"/>
                <w:kern w:val="0"/>
                <w:sz w:val="21"/>
                <w:szCs w:val="21"/>
                <w:highlight w:val="none"/>
              </w:rPr>
              <w:t>智能化</w:t>
            </w:r>
          </w:p>
        </w:tc>
        <w:tc>
          <w:tcPr>
            <w:tcW w:w="5056"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kern w:val="0"/>
                <w:sz w:val="21"/>
                <w:szCs w:val="21"/>
                <w:highlight w:val="none"/>
              </w:rPr>
            </w:pPr>
          </w:p>
        </w:tc>
        <w:tc>
          <w:tcPr>
            <w:tcW w:w="4225"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FF0000"/>
                <w:kern w:val="0"/>
                <w:sz w:val="21"/>
                <w:szCs w:val="21"/>
                <w:highlight w:val="none"/>
              </w:rPr>
            </w:pPr>
            <w:r>
              <w:rPr>
                <w:rFonts w:hint="eastAsia" w:asciiTheme="majorEastAsia" w:hAnsiTheme="majorEastAsia" w:eastAsiaTheme="majorEastAsia" w:cstheme="majorEastAsia"/>
                <w:strike w:val="0"/>
                <w:dstrike w:val="0"/>
                <w:color w:val="FF0000"/>
                <w:kern w:val="0"/>
                <w:sz w:val="21"/>
                <w:szCs w:val="21"/>
                <w:highlight w:val="none"/>
              </w:rPr>
              <w:t>采用智能化综合掘进系统</w:t>
            </w:r>
          </w:p>
        </w:tc>
        <w:tc>
          <w:tcPr>
            <w:tcW w:w="2594" w:type="dxa"/>
            <w:tcBorders>
              <w:tl2br w:val="nil"/>
              <w:tr2bl w:val="nil"/>
            </w:tcBorders>
            <w:vAlign w:val="center"/>
          </w:tcPr>
          <w:p>
            <w:pPr>
              <w:adjustRightInd w:val="0"/>
              <w:snapToGrid w:val="0"/>
              <w:jc w:val="center"/>
              <w:rPr>
                <w:rFonts w:hint="eastAsia" w:asciiTheme="majorEastAsia" w:hAnsiTheme="majorEastAsia" w:eastAsiaTheme="majorEastAsia" w:cstheme="majorEastAsia"/>
                <w:strike w:val="0"/>
                <w:dstrike w:val="0"/>
                <w:color w:val="auto"/>
                <w:kern w:val="0"/>
                <w:sz w:val="21"/>
                <w:szCs w:val="21"/>
                <w:highlight w:val="none"/>
              </w:rPr>
            </w:pPr>
            <w:r>
              <w:rPr>
                <w:rFonts w:hint="eastAsia" w:asciiTheme="majorEastAsia" w:hAnsiTheme="majorEastAsia" w:eastAsiaTheme="majorEastAsia" w:cstheme="majorEastAsia"/>
                <w:strike w:val="0"/>
                <w:dstrike w:val="0"/>
                <w:color w:val="auto"/>
                <w:kern w:val="0"/>
                <w:sz w:val="21"/>
                <w:szCs w:val="21"/>
                <w:highlight w:val="none"/>
              </w:rPr>
              <w:t>删除</w:t>
            </w:r>
          </w:p>
        </w:tc>
      </w:tr>
    </w:tbl>
    <w:p>
      <w:pPr>
        <w:rPr>
          <w:highlight w:val="none"/>
        </w:rPr>
      </w:pPr>
      <w:r>
        <w:rPr>
          <w:highlight w:val="none"/>
        </w:rPr>
        <w:br w:type="page"/>
      </w:r>
    </w:p>
    <w:p>
      <w:pPr>
        <w:spacing w:line="560" w:lineRule="exact"/>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7、</w:t>
      </w:r>
      <w:r>
        <w:rPr>
          <w:rFonts w:hint="eastAsia" w:ascii="宋体" w:hAnsi="宋体" w:eastAsia="宋体" w:cs="宋体"/>
          <w:b/>
          <w:bCs/>
          <w:sz w:val="32"/>
          <w:szCs w:val="32"/>
        </w:rPr>
        <w:t>煤矿</w:t>
      </w:r>
      <w:r>
        <w:rPr>
          <w:rFonts w:hint="eastAsia" w:ascii="宋体" w:hAnsi="宋体" w:eastAsia="宋体" w:cs="宋体"/>
          <w:b/>
          <w:bCs/>
          <w:color w:val="FF0000"/>
          <w:sz w:val="32"/>
          <w:szCs w:val="32"/>
        </w:rPr>
        <w:t>机电</w:t>
      </w:r>
      <w:r>
        <w:rPr>
          <w:rFonts w:hint="eastAsia" w:ascii="宋体" w:hAnsi="宋体" w:eastAsia="宋体" w:cs="宋体"/>
          <w:b/>
          <w:bCs/>
          <w:sz w:val="32"/>
          <w:szCs w:val="32"/>
        </w:rPr>
        <w:t>标准化评分表</w:t>
      </w:r>
    </w:p>
    <w:tbl>
      <w:tblPr>
        <w:tblStyle w:val="8"/>
        <w:tblW w:w="13896"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154"/>
        <w:gridCol w:w="4463"/>
        <w:gridCol w:w="4463"/>
        <w:gridCol w:w="305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blHeader/>
          <w:jc w:val="center"/>
        </w:trPr>
        <w:tc>
          <w:tcPr>
            <w:tcW w:w="759" w:type="dxa"/>
            <w:tcBorders>
              <w:tl2br w:val="nil"/>
              <w:tr2bl w:val="nil"/>
            </w:tcBorders>
            <w:vAlign w:val="center"/>
          </w:tcPr>
          <w:p>
            <w:pPr>
              <w:widowControl/>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项目</w:t>
            </w:r>
          </w:p>
        </w:tc>
        <w:tc>
          <w:tcPr>
            <w:tcW w:w="1154" w:type="dxa"/>
            <w:tcBorders>
              <w:tl2br w:val="nil"/>
              <w:tr2bl w:val="nil"/>
            </w:tcBorders>
            <w:vAlign w:val="center"/>
          </w:tcPr>
          <w:p>
            <w:pPr>
              <w:widowControl/>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项目内容</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spacing w:line="250" w:lineRule="exact"/>
              <w:jc w:val="center"/>
              <w:textAlignment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2024版要求</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spacing w:line="250" w:lineRule="exact"/>
              <w:jc w:val="center"/>
              <w:textAlignment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2020版要求</w:t>
            </w:r>
          </w:p>
        </w:tc>
        <w:tc>
          <w:tcPr>
            <w:tcW w:w="3057" w:type="dxa"/>
            <w:tcBorders>
              <w:tl2br w:val="nil"/>
              <w:tr2bl w:val="nil"/>
            </w:tcBorders>
            <w:vAlign w:val="center"/>
          </w:tcPr>
          <w:p>
            <w:pPr>
              <w:keepNext w:val="0"/>
              <w:keepLines w:val="0"/>
              <w:pageBreakBefore w:val="0"/>
              <w:widowControl/>
              <w:kinsoku/>
              <w:wordWrap/>
              <w:overflowPunct/>
              <w:topLinePunct w:val="0"/>
              <w:autoSpaceDE/>
              <w:autoSpaceDN/>
              <w:bidi w:val="0"/>
              <w:spacing w:line="250" w:lineRule="exact"/>
              <w:jc w:val="center"/>
              <w:textAlignment w:val="cente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98" w:hRule="atLeast"/>
          <w:jc w:val="center"/>
        </w:trPr>
        <w:tc>
          <w:tcPr>
            <w:tcW w:w="759" w:type="dxa"/>
            <w:vMerge w:val="restart"/>
            <w:tcBorders>
              <w:tl2br w:val="nil"/>
              <w:tr2bl w:val="nil"/>
            </w:tcBorders>
            <w:textDirection w:val="tbRlV"/>
            <w:vAlign w:val="center"/>
          </w:tcPr>
          <w:p>
            <w:pPr>
              <w:widowControl/>
              <w:adjustRightInd w:val="0"/>
              <w:snapToGrid w:val="0"/>
              <w:ind w:left="113" w:right="113"/>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一、基础管理</w:t>
            </w:r>
            <w:r>
              <w:rPr>
                <w:rFonts w:hint="eastAsia" w:asciiTheme="minorEastAsia" w:hAnsiTheme="minorEastAsia" w:eastAsiaTheme="minorEastAsia" w:cstheme="minorEastAsia"/>
                <w:color w:val="0000FF"/>
                <w:kern w:val="0"/>
                <w:sz w:val="21"/>
                <w:szCs w:val="21"/>
              </w:rPr>
              <w:t>（20分）</w:t>
            </w:r>
          </w:p>
        </w:tc>
        <w:tc>
          <w:tcPr>
            <w:tcW w:w="1154" w:type="dxa"/>
            <w:vMerge w:val="restart"/>
            <w:tcBorders>
              <w:tl2br w:val="nil"/>
              <w:tr2bl w:val="nil"/>
            </w:tcBorders>
            <w:vAlign w:val="center"/>
          </w:tcPr>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管理</w:t>
            </w:r>
          </w:p>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制度</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建立机电管理制度（规程），包括停送电管理、设备定期检修、电气试验测试、干部上岗检查、机电设备管理、机电事故统计分析追查、井下防爆电气设备管理、电缆管理、小型电器管理、油脂管理、配件管理、阻燃胶带管理、杂散电流管理以及钢丝绳管理等制度</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1.矿、专业管理部门建有以下制度（规程）：</w:t>
            </w:r>
            <w:r>
              <w:rPr>
                <w:rFonts w:hint="eastAsia" w:asciiTheme="minorEastAsia" w:hAnsiTheme="minorEastAsia" w:eastAsiaTheme="minorEastAsia" w:cstheme="minorEastAsia"/>
                <w:color w:val="FF0000"/>
                <w:kern w:val="0"/>
                <w:sz w:val="21"/>
                <w:szCs w:val="21"/>
              </w:rPr>
              <w:t>操作规程，</w:t>
            </w:r>
            <w:r>
              <w:rPr>
                <w:rFonts w:hint="eastAsia" w:asciiTheme="minorEastAsia" w:hAnsiTheme="minorEastAsia" w:eastAsiaTheme="minorEastAsia" w:cstheme="minorEastAsia"/>
                <w:kern w:val="0"/>
                <w:sz w:val="21"/>
                <w:szCs w:val="21"/>
              </w:rPr>
              <w:t>停送电管理、设备定期检修、电气试验测试、干部上岗检查、设备管理、机电事故统计分析、防爆设备入井安装验收、电缆管理、小型电器管理、油脂管理、配件管理、阻燃胶带管理、杂散电流管理以及钢丝绳管理等制度</w:t>
            </w:r>
          </w:p>
        </w:tc>
        <w:tc>
          <w:tcPr>
            <w:tcW w:w="3057"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1．取消“操作规程”的要求；</w:t>
            </w:r>
          </w:p>
          <w:p>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2．机房硐室变化为无人值守，“外来人员”变化“要害场景人员”，变化影响不大；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77" w:hRule="atLeast"/>
          <w:jc w:val="center"/>
        </w:trPr>
        <w:tc>
          <w:tcPr>
            <w:tcW w:w="759" w:type="dxa"/>
            <w:vMerge w:val="continue"/>
            <w:tcBorders>
              <w:tl2br w:val="nil"/>
              <w:tr2bl w:val="nil"/>
            </w:tcBorders>
            <w:textDirection w:val="tbRlV"/>
            <w:vAlign w:val="center"/>
          </w:tcPr>
          <w:p>
            <w:pPr>
              <w:widowControl/>
              <w:adjustRightInd w:val="0"/>
              <w:snapToGrid w:val="0"/>
              <w:jc w:val="center"/>
              <w:rPr>
                <w:rFonts w:hint="eastAsia" w:asciiTheme="minorEastAsia" w:hAnsiTheme="minorEastAsia" w:eastAsiaTheme="minorEastAsia" w:cstheme="minorEastAsia"/>
                <w:kern w:val="0"/>
                <w:sz w:val="21"/>
                <w:szCs w:val="21"/>
              </w:rPr>
            </w:pPr>
          </w:p>
        </w:tc>
        <w:tc>
          <w:tcPr>
            <w:tcW w:w="1154" w:type="dxa"/>
            <w:vMerge w:val="continue"/>
            <w:tcBorders>
              <w:tl2br w:val="nil"/>
              <w:tr2bl w:val="nil"/>
            </w:tcBorders>
            <w:vAlign w:val="center"/>
          </w:tcPr>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机房硐室：</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1.有操作规程</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岗位责任</w:t>
            </w:r>
            <w:r>
              <w:rPr>
                <w:rFonts w:hint="eastAsia" w:asciiTheme="minorEastAsia" w:hAnsiTheme="minorEastAsia" w:eastAsiaTheme="minorEastAsia" w:cstheme="minorEastAsia"/>
                <w:kern w:val="0"/>
                <w:sz w:val="21"/>
                <w:szCs w:val="21"/>
                <w:lang w:eastAsia="zh-CN"/>
              </w:rPr>
              <w:t>，有</w:t>
            </w:r>
            <w:r>
              <w:rPr>
                <w:rFonts w:hint="eastAsia" w:asciiTheme="minorEastAsia" w:hAnsiTheme="minorEastAsia" w:eastAsiaTheme="minorEastAsia" w:cstheme="minorEastAsia"/>
                <w:kern w:val="0"/>
                <w:sz w:val="21"/>
                <w:szCs w:val="21"/>
              </w:rPr>
              <w:t>设备包机、交接班、巡回检查、保护试验、设备检修以及要害场所管理等制度，变电所有停送电管理制度；</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2.有设备技术特征牌板、设备电气图、液压系统图、润滑系统图；</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3.有设备运转、检修、保护试验、干部上岗、交接班、事故、</w:t>
            </w:r>
            <w:r>
              <w:rPr>
                <w:rFonts w:hint="eastAsia" w:asciiTheme="minorEastAsia" w:hAnsiTheme="minorEastAsia" w:eastAsiaTheme="minorEastAsia" w:cstheme="minorEastAsia"/>
                <w:color w:val="0000FF"/>
                <w:kern w:val="0"/>
                <w:sz w:val="21"/>
                <w:szCs w:val="21"/>
              </w:rPr>
              <w:t>要害场所人员</w:t>
            </w:r>
            <w:r>
              <w:rPr>
                <w:rFonts w:hint="eastAsia" w:asciiTheme="minorEastAsia" w:hAnsiTheme="minorEastAsia" w:eastAsiaTheme="minorEastAsia" w:cstheme="minorEastAsia"/>
                <w:kern w:val="0"/>
                <w:sz w:val="21"/>
                <w:szCs w:val="21"/>
              </w:rPr>
              <w:t>、钢丝绳检查等记录，变电所有停送电记录</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2.机房、硐室有以下制度、图纸和记录：</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⑴有操作规程，岗位责任、设备包机、交接班、巡回检查、保护试验、设备检修以及要害场所管理等制度，变电所有停送电管理制度；</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⑵有设备技术特征、设备电气系统图、液压（制动）系统图、润滑系统图；</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⑶有设备运转、检修、保护试验、干部上岗、交接班、事故、</w:t>
            </w:r>
            <w:r>
              <w:rPr>
                <w:rFonts w:hint="eastAsia" w:asciiTheme="minorEastAsia" w:hAnsiTheme="minorEastAsia" w:eastAsiaTheme="minorEastAsia" w:cstheme="minorEastAsia"/>
                <w:color w:val="FF0000"/>
                <w:kern w:val="0"/>
                <w:sz w:val="21"/>
                <w:szCs w:val="21"/>
              </w:rPr>
              <w:t>外来人员</w:t>
            </w:r>
            <w:r>
              <w:rPr>
                <w:rFonts w:hint="eastAsia" w:asciiTheme="minorEastAsia" w:hAnsiTheme="minorEastAsia" w:eastAsiaTheme="minorEastAsia" w:cstheme="minorEastAsia"/>
                <w:kern w:val="0"/>
                <w:sz w:val="21"/>
                <w:szCs w:val="21"/>
              </w:rPr>
              <w:t>、钢丝绳检查（或其他专项检查）等记录，变电所有停送电记录</w:t>
            </w:r>
          </w:p>
        </w:tc>
        <w:tc>
          <w:tcPr>
            <w:tcW w:w="305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33" w:hRule="atLeast"/>
          <w:jc w:val="center"/>
        </w:trPr>
        <w:tc>
          <w:tcPr>
            <w:tcW w:w="759" w:type="dxa"/>
            <w:vMerge w:val="continue"/>
            <w:tcBorders>
              <w:tl2br w:val="nil"/>
              <w:tr2bl w:val="nil"/>
            </w:tcBorders>
            <w:vAlign w:val="center"/>
          </w:tcPr>
          <w:p>
            <w:pPr>
              <w:widowControl/>
              <w:adjustRightInd w:val="0"/>
              <w:snapToGrid w:val="0"/>
              <w:jc w:val="center"/>
              <w:rPr>
                <w:rFonts w:hint="eastAsia" w:asciiTheme="minorEastAsia" w:hAnsiTheme="minorEastAsia" w:eastAsiaTheme="minorEastAsia" w:cstheme="minorEastAsia"/>
                <w:kern w:val="0"/>
                <w:sz w:val="21"/>
                <w:szCs w:val="21"/>
              </w:rPr>
            </w:pPr>
          </w:p>
        </w:tc>
        <w:tc>
          <w:tcPr>
            <w:tcW w:w="1154" w:type="dxa"/>
            <w:vMerge w:val="restart"/>
            <w:tcBorders>
              <w:tl2br w:val="nil"/>
              <w:tr2bl w:val="nil"/>
            </w:tcBorders>
            <w:vAlign w:val="center"/>
          </w:tcPr>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技术</w:t>
            </w:r>
          </w:p>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管理</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大型机电设备选型论证、安装、验收等符合规定</w:t>
            </w:r>
          </w:p>
        </w:tc>
        <w:tc>
          <w:tcPr>
            <w:tcW w:w="446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50" w:lineRule="exact"/>
              <w:ind w:left="1" w:leftChars="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1.机电设备选型论证、</w:t>
            </w:r>
            <w:r>
              <w:rPr>
                <w:rFonts w:hint="eastAsia" w:asciiTheme="minorEastAsia" w:hAnsiTheme="minorEastAsia" w:eastAsiaTheme="minorEastAsia" w:cstheme="minorEastAsia"/>
                <w:bCs/>
                <w:color w:val="FF0000"/>
                <w:sz w:val="21"/>
                <w:szCs w:val="21"/>
              </w:rPr>
              <w:t>购置</w:t>
            </w:r>
            <w:r>
              <w:rPr>
                <w:rFonts w:hint="eastAsia" w:asciiTheme="minorEastAsia" w:hAnsiTheme="minorEastAsia" w:eastAsiaTheme="minorEastAsia" w:cstheme="minorEastAsia"/>
                <w:bCs/>
                <w:color w:val="0000FF"/>
                <w:sz w:val="21"/>
                <w:szCs w:val="21"/>
              </w:rPr>
              <w:t>、</w:t>
            </w:r>
            <w:r>
              <w:rPr>
                <w:rFonts w:hint="eastAsia" w:asciiTheme="minorEastAsia" w:hAnsiTheme="minorEastAsia" w:eastAsiaTheme="minorEastAsia" w:cstheme="minorEastAsia"/>
                <w:bCs/>
                <w:sz w:val="21"/>
                <w:szCs w:val="21"/>
              </w:rPr>
              <w:t>安装、</w:t>
            </w:r>
            <w:r>
              <w:rPr>
                <w:rFonts w:hint="eastAsia" w:asciiTheme="minorEastAsia" w:hAnsiTheme="minorEastAsia" w:eastAsiaTheme="minorEastAsia" w:cstheme="minorEastAsia"/>
                <w:bCs/>
                <w:color w:val="FF0000"/>
                <w:sz w:val="21"/>
                <w:szCs w:val="21"/>
              </w:rPr>
              <w:t>使用、维护、检修、更新改造、报废</w:t>
            </w:r>
            <w:r>
              <w:rPr>
                <w:rFonts w:hint="eastAsia" w:asciiTheme="minorEastAsia" w:hAnsiTheme="minorEastAsia" w:eastAsiaTheme="minorEastAsia" w:cstheme="minorEastAsia"/>
                <w:bCs/>
                <w:sz w:val="21"/>
                <w:szCs w:val="21"/>
              </w:rPr>
              <w:t>等综合管理及程序符合相关规定，档案资料齐全</w:t>
            </w:r>
          </w:p>
        </w:tc>
        <w:tc>
          <w:tcPr>
            <w:tcW w:w="30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1．取消“购置、使用、维护、检修、更新改造、报废”这些环节的明确要求，变化影响不大；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31" w:hRule="atLeast"/>
          <w:jc w:val="center"/>
        </w:trPr>
        <w:tc>
          <w:tcPr>
            <w:tcW w:w="759" w:type="dxa"/>
            <w:vMerge w:val="continue"/>
            <w:tcBorders>
              <w:tl2br w:val="nil"/>
              <w:tr2bl w:val="nil"/>
            </w:tcBorders>
            <w:vAlign w:val="center"/>
          </w:tcPr>
          <w:p>
            <w:pPr>
              <w:widowControl/>
              <w:adjustRightInd w:val="0"/>
              <w:snapToGrid w:val="0"/>
              <w:jc w:val="center"/>
              <w:rPr>
                <w:rFonts w:hint="eastAsia" w:asciiTheme="minorEastAsia" w:hAnsiTheme="minorEastAsia" w:eastAsiaTheme="minorEastAsia" w:cstheme="minorEastAsia"/>
                <w:kern w:val="0"/>
                <w:sz w:val="21"/>
                <w:szCs w:val="21"/>
              </w:rPr>
            </w:pPr>
          </w:p>
        </w:tc>
        <w:tc>
          <w:tcPr>
            <w:tcW w:w="1154" w:type="dxa"/>
            <w:vMerge w:val="continue"/>
            <w:tcBorders>
              <w:tl2br w:val="nil"/>
              <w:tr2bl w:val="nil"/>
            </w:tcBorders>
            <w:vAlign w:val="center"/>
          </w:tcPr>
          <w:p>
            <w:pPr>
              <w:widowControl/>
              <w:spacing w:beforeAutospacing="1" w:afterAutospacing="1"/>
              <w:jc w:val="left"/>
              <w:rPr>
                <w:rFonts w:hint="eastAsia" w:asciiTheme="minorEastAsia" w:hAnsiTheme="minorEastAsia" w:eastAsiaTheme="minorEastAsia" w:cstheme="minorEastAsia"/>
                <w:kern w:val="0"/>
                <w:sz w:val="21"/>
                <w:szCs w:val="21"/>
              </w:rPr>
            </w:pP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设备技术信息档案齐全；主变压器、主通风机、提升机、压风机、主排水泵等大型固定设备做到一台一档</w:t>
            </w:r>
          </w:p>
        </w:tc>
        <w:tc>
          <w:tcPr>
            <w:tcW w:w="446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2.设备技术信息档案齐全，</w:t>
            </w:r>
            <w:r>
              <w:rPr>
                <w:rFonts w:hint="eastAsia" w:asciiTheme="minorEastAsia" w:hAnsiTheme="minorEastAsia" w:eastAsiaTheme="minorEastAsia" w:cstheme="minorEastAsia"/>
                <w:bCs/>
                <w:color w:val="FF0000"/>
                <w:sz w:val="21"/>
                <w:szCs w:val="21"/>
              </w:rPr>
              <w:t>管理人员明确；</w:t>
            </w:r>
            <w:r>
              <w:rPr>
                <w:rFonts w:hint="eastAsia" w:asciiTheme="minorEastAsia" w:hAnsiTheme="minorEastAsia" w:eastAsiaTheme="minorEastAsia" w:cstheme="minorEastAsia"/>
                <w:bCs/>
                <w:sz w:val="21"/>
                <w:szCs w:val="21"/>
              </w:rPr>
              <w:t>主变压器、主要通风机、提升机、压风机、主排水泵、</w:t>
            </w:r>
            <w:r>
              <w:rPr>
                <w:rFonts w:hint="eastAsia" w:asciiTheme="minorEastAsia" w:hAnsiTheme="minorEastAsia" w:eastAsiaTheme="minorEastAsia" w:cstheme="minorEastAsia"/>
                <w:bCs/>
                <w:color w:val="FF0000"/>
                <w:sz w:val="21"/>
                <w:szCs w:val="21"/>
              </w:rPr>
              <w:t>锅炉</w:t>
            </w:r>
            <w:r>
              <w:rPr>
                <w:rFonts w:hint="eastAsia" w:asciiTheme="minorEastAsia" w:hAnsiTheme="minorEastAsia" w:eastAsiaTheme="minorEastAsia" w:cstheme="minorEastAsia"/>
                <w:bCs/>
                <w:sz w:val="21"/>
                <w:szCs w:val="21"/>
              </w:rPr>
              <w:t>等大型主要设备做到一台一档</w:t>
            </w:r>
          </w:p>
        </w:tc>
        <w:tc>
          <w:tcPr>
            <w:tcW w:w="30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1．取消“管理人员明确”的要求，变化影响不大；</w:t>
            </w:r>
          </w:p>
          <w:p>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2．取消“锅炉”的要求，专业不涉及；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31" w:hRule="atLeast"/>
          <w:jc w:val="center"/>
        </w:trPr>
        <w:tc>
          <w:tcPr>
            <w:tcW w:w="759" w:type="dxa"/>
            <w:vMerge w:val="continue"/>
            <w:tcBorders>
              <w:tl2br w:val="nil"/>
              <w:tr2bl w:val="nil"/>
            </w:tcBorders>
            <w:vAlign w:val="center"/>
          </w:tcPr>
          <w:p>
            <w:pPr>
              <w:widowControl/>
              <w:adjustRightInd w:val="0"/>
              <w:snapToGrid w:val="0"/>
              <w:jc w:val="center"/>
              <w:rPr>
                <w:rFonts w:hint="eastAsia" w:asciiTheme="minorEastAsia" w:hAnsiTheme="minorEastAsia" w:eastAsiaTheme="minorEastAsia" w:cstheme="minorEastAsia"/>
                <w:kern w:val="0"/>
                <w:sz w:val="21"/>
                <w:szCs w:val="21"/>
              </w:rPr>
            </w:pPr>
          </w:p>
        </w:tc>
        <w:tc>
          <w:tcPr>
            <w:tcW w:w="1154" w:type="dxa"/>
            <w:vMerge w:val="continue"/>
            <w:tcBorders>
              <w:tl2br w:val="nil"/>
              <w:tr2bl w:val="nil"/>
            </w:tcBorders>
            <w:vAlign w:val="center"/>
          </w:tcPr>
          <w:p>
            <w:pPr>
              <w:widowControl/>
              <w:spacing w:beforeAutospacing="1" w:afterAutospacing="1"/>
              <w:jc w:val="left"/>
              <w:rPr>
                <w:rFonts w:hint="eastAsia" w:asciiTheme="minorEastAsia" w:hAnsiTheme="minorEastAsia" w:eastAsiaTheme="minorEastAsia" w:cstheme="minorEastAsia"/>
                <w:kern w:val="0"/>
                <w:sz w:val="21"/>
                <w:szCs w:val="21"/>
              </w:rPr>
            </w:pP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矿井提升、排水、压风、供水、通信、供电系统和井下电气设备布置</w:t>
            </w:r>
            <w:r>
              <w:rPr>
                <w:rFonts w:hint="eastAsia" w:asciiTheme="minorEastAsia" w:hAnsiTheme="minorEastAsia" w:eastAsiaTheme="minorEastAsia" w:cstheme="minorEastAsia"/>
                <w:kern w:val="0"/>
                <w:sz w:val="21"/>
                <w:szCs w:val="21"/>
                <w:lang w:val="en-US" w:eastAsia="zh-CN"/>
              </w:rPr>
              <w:t>图</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color w:val="0000FF"/>
                <w:kern w:val="0"/>
                <w:sz w:val="21"/>
                <w:szCs w:val="21"/>
              </w:rPr>
              <w:t>供电线路平面敷设示意图、井上下配电系统图</w:t>
            </w:r>
            <w:r>
              <w:rPr>
                <w:rFonts w:hint="eastAsia" w:asciiTheme="minorEastAsia" w:hAnsiTheme="minorEastAsia" w:eastAsiaTheme="minorEastAsia" w:cstheme="minorEastAsia"/>
                <w:kern w:val="0"/>
                <w:sz w:val="21"/>
                <w:szCs w:val="21"/>
              </w:rPr>
              <w:t>等图纸齐全，内容、图例、标注规范，及时更新</w:t>
            </w:r>
          </w:p>
        </w:tc>
        <w:tc>
          <w:tcPr>
            <w:tcW w:w="446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3.矿井提升、排水、压风、</w:t>
            </w:r>
            <w:r>
              <w:rPr>
                <w:rFonts w:hint="eastAsia" w:asciiTheme="minorEastAsia" w:hAnsiTheme="minorEastAsia" w:eastAsiaTheme="minorEastAsia" w:cstheme="minorEastAsia"/>
                <w:bCs/>
                <w:color w:val="FF0000"/>
                <w:sz w:val="21"/>
                <w:szCs w:val="21"/>
              </w:rPr>
              <w:t>供热</w:t>
            </w:r>
            <w:r>
              <w:rPr>
                <w:rFonts w:hint="eastAsia" w:asciiTheme="minorEastAsia" w:hAnsiTheme="minorEastAsia" w:eastAsiaTheme="minorEastAsia" w:cstheme="minorEastAsia"/>
                <w:bCs/>
                <w:sz w:val="21"/>
                <w:szCs w:val="21"/>
              </w:rPr>
              <w:t>、供水、通信、井上下供电等系统和井下电气设备布置等图纸齐全，内容、图例、标注规范，及时更新</w:t>
            </w:r>
          </w:p>
        </w:tc>
        <w:tc>
          <w:tcPr>
            <w:tcW w:w="30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1．增加“</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供电线路平面敷设示意图</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”的要求；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759" w:type="dxa"/>
            <w:vMerge w:val="continue"/>
            <w:tcBorders>
              <w:tl2br w:val="nil"/>
              <w:tr2bl w:val="nil"/>
            </w:tcBorders>
            <w:vAlign w:val="center"/>
          </w:tcPr>
          <w:p>
            <w:pPr>
              <w:widowControl/>
              <w:adjustRightInd w:val="0"/>
              <w:snapToGrid w:val="0"/>
              <w:jc w:val="center"/>
              <w:rPr>
                <w:rFonts w:hint="eastAsia" w:asciiTheme="minorEastAsia" w:hAnsiTheme="minorEastAsia" w:eastAsiaTheme="minorEastAsia" w:cstheme="minorEastAsia"/>
                <w:kern w:val="0"/>
                <w:sz w:val="21"/>
                <w:szCs w:val="21"/>
              </w:rPr>
            </w:pPr>
          </w:p>
        </w:tc>
        <w:tc>
          <w:tcPr>
            <w:tcW w:w="1154" w:type="dxa"/>
            <w:vMerge w:val="continue"/>
            <w:tcBorders>
              <w:tl2br w:val="nil"/>
              <w:tr2bl w:val="nil"/>
            </w:tcBorders>
            <w:vAlign w:val="center"/>
          </w:tcPr>
          <w:p>
            <w:pPr>
              <w:widowControl/>
              <w:spacing w:beforeAutospacing="1" w:afterAutospacing="1"/>
              <w:jc w:val="left"/>
              <w:rPr>
                <w:rFonts w:hint="eastAsia" w:asciiTheme="minorEastAsia" w:hAnsiTheme="minorEastAsia" w:eastAsiaTheme="minorEastAsia" w:cstheme="minorEastAsia"/>
                <w:kern w:val="0"/>
                <w:sz w:val="21"/>
                <w:szCs w:val="21"/>
              </w:rPr>
            </w:pP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岗位操作规程、安全技术措施（方案）及保护试验要求等与实际运行的设备相符</w:t>
            </w:r>
          </w:p>
        </w:tc>
        <w:tc>
          <w:tcPr>
            <w:tcW w:w="446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4.各岗位操作规程、措施及保护试验要求等与实际运行的设备相符</w:t>
            </w:r>
          </w:p>
        </w:tc>
        <w:tc>
          <w:tcPr>
            <w:tcW w:w="30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1．描述差别，变化影响不大；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759" w:type="dxa"/>
            <w:vMerge w:val="continue"/>
            <w:tcBorders>
              <w:tl2br w:val="nil"/>
              <w:tr2bl w:val="nil"/>
            </w:tcBorders>
            <w:vAlign w:val="center"/>
          </w:tcPr>
          <w:p>
            <w:pPr>
              <w:widowControl/>
              <w:adjustRightInd w:val="0"/>
              <w:snapToGrid w:val="0"/>
              <w:jc w:val="center"/>
              <w:rPr>
                <w:rFonts w:hint="eastAsia" w:asciiTheme="minorEastAsia" w:hAnsiTheme="minorEastAsia" w:eastAsiaTheme="minorEastAsia" w:cstheme="minorEastAsia"/>
                <w:kern w:val="0"/>
                <w:sz w:val="21"/>
                <w:szCs w:val="21"/>
              </w:rPr>
            </w:pPr>
          </w:p>
        </w:tc>
        <w:tc>
          <w:tcPr>
            <w:tcW w:w="1154" w:type="dxa"/>
            <w:vMerge w:val="continue"/>
            <w:tcBorders>
              <w:tl2br w:val="nil"/>
              <w:tr2bl w:val="nil"/>
            </w:tcBorders>
            <w:vAlign w:val="center"/>
          </w:tcPr>
          <w:p>
            <w:pPr>
              <w:widowControl/>
              <w:spacing w:beforeAutospacing="1" w:afterAutospacing="1"/>
              <w:jc w:val="left"/>
              <w:rPr>
                <w:rFonts w:hint="eastAsia" w:asciiTheme="minorEastAsia" w:hAnsiTheme="minorEastAsia" w:eastAsiaTheme="minorEastAsia" w:cstheme="minorEastAsia"/>
                <w:kern w:val="0"/>
                <w:sz w:val="21"/>
                <w:szCs w:val="21"/>
              </w:rPr>
            </w:pP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FF"/>
                <w:kern w:val="0"/>
                <w:sz w:val="21"/>
                <w:szCs w:val="21"/>
              </w:rPr>
              <w:t>矿井机电业务保安管理体系完善</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bCs/>
                <w:sz w:val="21"/>
                <w:szCs w:val="21"/>
              </w:rPr>
              <w:t>有专业培训、专项检查计划并实施；开展机电事故统计分析追查等工作</w:t>
            </w:r>
          </w:p>
        </w:tc>
        <w:tc>
          <w:tcPr>
            <w:tcW w:w="446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5.持续有效地开展全矿机电专业技术指导监督、专项检查与机电事故统计分析等全矿机电业务保安工作</w:t>
            </w:r>
          </w:p>
        </w:tc>
        <w:tc>
          <w:tcPr>
            <w:tcW w:w="30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机电业务保安工作</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”上升至“机电业务保安管理体系”；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54" w:hRule="atLeast"/>
          <w:jc w:val="center"/>
        </w:trPr>
        <w:tc>
          <w:tcPr>
            <w:tcW w:w="759" w:type="dxa"/>
            <w:vMerge w:val="continue"/>
            <w:tcBorders>
              <w:tl2br w:val="nil"/>
              <w:tr2bl w:val="nil"/>
            </w:tcBorders>
            <w:vAlign w:val="center"/>
          </w:tcPr>
          <w:p>
            <w:pPr>
              <w:widowControl/>
              <w:adjustRightInd w:val="0"/>
              <w:snapToGrid w:val="0"/>
              <w:jc w:val="center"/>
              <w:rPr>
                <w:rFonts w:hint="eastAsia" w:asciiTheme="minorEastAsia" w:hAnsiTheme="minorEastAsia" w:eastAsiaTheme="minorEastAsia" w:cstheme="minorEastAsia"/>
                <w:kern w:val="0"/>
                <w:sz w:val="21"/>
                <w:szCs w:val="21"/>
              </w:rPr>
            </w:pPr>
          </w:p>
        </w:tc>
        <w:tc>
          <w:tcPr>
            <w:tcW w:w="1154" w:type="dxa"/>
            <w:vMerge w:val="restart"/>
            <w:tcBorders>
              <w:tl2br w:val="nil"/>
              <w:tr2bl w:val="nil"/>
            </w:tcBorders>
            <w:vAlign w:val="center"/>
          </w:tcPr>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设备</w:t>
            </w:r>
          </w:p>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技术</w:t>
            </w:r>
          </w:p>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性能</w:t>
            </w:r>
          </w:p>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测试</w:t>
            </w:r>
          </w:p>
        </w:tc>
        <w:tc>
          <w:tcPr>
            <w:tcW w:w="446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strike/>
                <w:kern w:val="0"/>
                <w:sz w:val="21"/>
                <w:szCs w:val="21"/>
              </w:rPr>
            </w:pPr>
          </w:p>
        </w:tc>
        <w:tc>
          <w:tcPr>
            <w:tcW w:w="446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 w:val="21"/>
                <w:szCs w:val="21"/>
              </w:rPr>
              <w:t>1.大型固定设备更新改造有设计，有验收测试结果和联合验收报告</w:t>
            </w:r>
          </w:p>
        </w:tc>
        <w:tc>
          <w:tcPr>
            <w:tcW w:w="3057"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strike/>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1．取消“大型固定设备更新改造设计、验收”的明确要求，但实际工作持续进行，变化影响不大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668" w:hRule="atLeast"/>
          <w:jc w:val="center"/>
        </w:trPr>
        <w:tc>
          <w:tcPr>
            <w:tcW w:w="759" w:type="dxa"/>
            <w:vMerge w:val="continue"/>
            <w:tcBorders>
              <w:tl2br w:val="nil"/>
              <w:tr2bl w:val="nil"/>
            </w:tcBorders>
            <w:vAlign w:val="center"/>
          </w:tcPr>
          <w:p>
            <w:pPr>
              <w:widowControl/>
              <w:adjustRightInd w:val="0"/>
              <w:snapToGrid w:val="0"/>
              <w:jc w:val="center"/>
              <w:rPr>
                <w:rFonts w:hint="eastAsia" w:asciiTheme="minorEastAsia" w:hAnsiTheme="minorEastAsia" w:eastAsiaTheme="minorEastAsia" w:cstheme="minorEastAsia"/>
                <w:kern w:val="0"/>
                <w:sz w:val="21"/>
                <w:szCs w:val="21"/>
              </w:rPr>
            </w:pPr>
          </w:p>
        </w:tc>
        <w:tc>
          <w:tcPr>
            <w:tcW w:w="1154" w:type="dxa"/>
            <w:vMerge w:val="continue"/>
            <w:tcBorders>
              <w:tl2br w:val="nil"/>
              <w:tr2bl w:val="nil"/>
            </w:tcBorders>
            <w:vAlign w:val="center"/>
          </w:tcPr>
          <w:p>
            <w:pPr>
              <w:widowControl/>
              <w:spacing w:beforeAutospacing="1" w:afterAutospacing="1"/>
              <w:jc w:val="center"/>
              <w:rPr>
                <w:rFonts w:hint="eastAsia" w:asciiTheme="minorEastAsia" w:hAnsiTheme="minorEastAsia" w:eastAsiaTheme="minorEastAsia" w:cstheme="minorEastAsia"/>
                <w:kern w:val="0"/>
                <w:sz w:val="21"/>
                <w:szCs w:val="21"/>
              </w:rPr>
            </w:pPr>
          </w:p>
        </w:tc>
        <w:tc>
          <w:tcPr>
            <w:tcW w:w="446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主要提升系统、主排水系统、主要通风机系统、空气压缩机等按要求检测检验；检验周期符合《煤矿在用产品安全检测检验规范》等规定要求</w:t>
            </w:r>
          </w:p>
        </w:tc>
        <w:tc>
          <w:tcPr>
            <w:tcW w:w="446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 w:val="21"/>
                <w:szCs w:val="21"/>
              </w:rPr>
              <w:t>2.主提升设备、主排水泵、主要通风机、压风机及</w:t>
            </w:r>
            <w:r>
              <w:rPr>
                <w:rFonts w:hint="eastAsia" w:asciiTheme="minorEastAsia" w:hAnsiTheme="minorEastAsia" w:eastAsiaTheme="minorEastAsia" w:cstheme="minorEastAsia"/>
                <w:bCs/>
                <w:color w:val="FF0000"/>
                <w:sz w:val="21"/>
                <w:szCs w:val="21"/>
              </w:rPr>
              <w:t>锅炉</w:t>
            </w:r>
            <w:r>
              <w:rPr>
                <w:rFonts w:hint="eastAsia" w:asciiTheme="minorEastAsia" w:hAnsiTheme="minorEastAsia" w:eastAsiaTheme="minorEastAsia" w:cstheme="minorEastAsia"/>
                <w:bCs/>
                <w:sz w:val="21"/>
                <w:szCs w:val="21"/>
              </w:rPr>
              <w:t>等按《煤矿安全规程》检测；检测周期符合《</w:t>
            </w:r>
            <w:r>
              <w:rPr>
                <w:rFonts w:hint="eastAsia" w:asciiTheme="minorEastAsia" w:hAnsiTheme="minorEastAsia" w:eastAsiaTheme="minorEastAsia" w:cstheme="minorEastAsia"/>
                <w:bCs/>
                <w:color w:val="FF0000"/>
                <w:sz w:val="21"/>
                <w:szCs w:val="21"/>
              </w:rPr>
              <w:t>煤矿在用安全设备检测检验目录（第一批）</w:t>
            </w:r>
            <w:r>
              <w:rPr>
                <w:rFonts w:hint="eastAsia" w:asciiTheme="minorEastAsia" w:hAnsiTheme="minorEastAsia" w:eastAsiaTheme="minorEastAsia" w:cstheme="minorEastAsia"/>
                <w:bCs/>
                <w:sz w:val="21"/>
                <w:szCs w:val="21"/>
              </w:rPr>
              <w:t>》或其他规定要求</w:t>
            </w:r>
          </w:p>
        </w:tc>
        <w:tc>
          <w:tcPr>
            <w:tcW w:w="30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1．取消“锅炉”的要求，专业不涉及；</w:t>
            </w:r>
          </w:p>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2．完善《检测检验规范》，变化影响不大；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84" w:hRule="atLeast"/>
          <w:jc w:val="center"/>
        </w:trPr>
        <w:tc>
          <w:tcPr>
            <w:tcW w:w="759" w:type="dxa"/>
            <w:vMerge w:val="continue"/>
            <w:tcBorders>
              <w:tl2br w:val="nil"/>
              <w:tr2bl w:val="nil"/>
            </w:tcBorders>
            <w:vAlign w:val="center"/>
          </w:tcPr>
          <w:p>
            <w:pPr>
              <w:widowControl/>
              <w:adjustRightInd w:val="0"/>
              <w:snapToGrid w:val="0"/>
              <w:jc w:val="center"/>
              <w:rPr>
                <w:rFonts w:hint="eastAsia" w:asciiTheme="minorEastAsia" w:hAnsiTheme="minorEastAsia" w:eastAsiaTheme="minorEastAsia" w:cstheme="minorEastAsia"/>
                <w:kern w:val="0"/>
                <w:sz w:val="21"/>
                <w:szCs w:val="21"/>
              </w:rPr>
            </w:pPr>
          </w:p>
        </w:tc>
        <w:tc>
          <w:tcPr>
            <w:tcW w:w="1154" w:type="dxa"/>
            <w:vMerge w:val="continue"/>
            <w:tcBorders>
              <w:tl2br w:val="nil"/>
              <w:tr2bl w:val="nil"/>
            </w:tcBorders>
            <w:vAlign w:val="center"/>
          </w:tcPr>
          <w:p>
            <w:pPr>
              <w:widowControl/>
              <w:spacing w:beforeAutospacing="1" w:afterAutospacing="1"/>
              <w:jc w:val="center"/>
              <w:rPr>
                <w:rFonts w:hint="eastAsia" w:asciiTheme="minorEastAsia" w:hAnsiTheme="minorEastAsia" w:eastAsiaTheme="minorEastAsia" w:cstheme="minorEastAsia"/>
                <w:kern w:val="0"/>
                <w:sz w:val="21"/>
                <w:szCs w:val="21"/>
              </w:rPr>
            </w:pP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rPr>
              <w:t>主要提升绞车的主轴、天轮轴、连接装置以及主要通风机的主轴、叶片等主要设备的关键零部件探伤符合规定</w:t>
            </w:r>
          </w:p>
        </w:tc>
        <w:tc>
          <w:tcPr>
            <w:tcW w:w="446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Cs/>
                <w:sz w:val="21"/>
                <w:szCs w:val="21"/>
              </w:rPr>
              <w:t>3.主绞车的主轴、</w:t>
            </w:r>
            <w:r>
              <w:rPr>
                <w:rFonts w:hint="eastAsia" w:asciiTheme="minorEastAsia" w:hAnsiTheme="minorEastAsia" w:eastAsiaTheme="minorEastAsia" w:cstheme="minorEastAsia"/>
                <w:bCs/>
                <w:color w:val="FF0000"/>
                <w:sz w:val="21"/>
                <w:szCs w:val="21"/>
              </w:rPr>
              <w:t>制动杆件</w:t>
            </w:r>
            <w:r>
              <w:rPr>
                <w:rFonts w:hint="eastAsia" w:asciiTheme="minorEastAsia" w:hAnsiTheme="minorEastAsia" w:eastAsiaTheme="minorEastAsia" w:cstheme="minorEastAsia"/>
                <w:bCs/>
                <w:sz w:val="21"/>
                <w:szCs w:val="21"/>
              </w:rPr>
              <w:t>、天轮轴、连接装置以及主要通风机的主轴、叶片等主要设备的关键零部件探伤符合规定</w:t>
            </w:r>
          </w:p>
        </w:tc>
        <w:tc>
          <w:tcPr>
            <w:tcW w:w="30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1．取消“制动杆件”的要求，变化影响不大；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jc w:val="center"/>
        </w:trPr>
        <w:tc>
          <w:tcPr>
            <w:tcW w:w="759" w:type="dxa"/>
            <w:vMerge w:val="continue"/>
            <w:tcBorders>
              <w:tl2br w:val="nil"/>
              <w:tr2bl w:val="nil"/>
            </w:tcBorders>
            <w:vAlign w:val="center"/>
          </w:tcPr>
          <w:p>
            <w:pPr>
              <w:widowControl/>
              <w:adjustRightInd w:val="0"/>
              <w:snapToGrid w:val="0"/>
              <w:jc w:val="center"/>
              <w:rPr>
                <w:rFonts w:hint="eastAsia" w:asciiTheme="minorEastAsia" w:hAnsiTheme="minorEastAsia" w:eastAsiaTheme="minorEastAsia" w:cstheme="minorEastAsia"/>
                <w:kern w:val="0"/>
                <w:sz w:val="21"/>
                <w:szCs w:val="21"/>
              </w:rPr>
            </w:pPr>
          </w:p>
        </w:tc>
        <w:tc>
          <w:tcPr>
            <w:tcW w:w="1154" w:type="dxa"/>
            <w:vMerge w:val="continue"/>
            <w:tcBorders>
              <w:tl2br w:val="nil"/>
              <w:tr2bl w:val="nil"/>
            </w:tcBorders>
            <w:vAlign w:val="center"/>
          </w:tcPr>
          <w:p>
            <w:pPr>
              <w:widowControl/>
              <w:spacing w:beforeAutospacing="1" w:afterAutospacing="1"/>
              <w:jc w:val="center"/>
              <w:rPr>
                <w:rFonts w:hint="eastAsia" w:asciiTheme="minorEastAsia" w:hAnsiTheme="minorEastAsia" w:eastAsiaTheme="minorEastAsia" w:cstheme="minorEastAsia"/>
                <w:kern w:val="0"/>
                <w:sz w:val="21"/>
                <w:szCs w:val="21"/>
              </w:rPr>
            </w:pP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按规定进行防坠器试验、电气试验、防雷设施及接地电阻等测试和</w:t>
            </w:r>
            <w:r>
              <w:rPr>
                <w:rFonts w:hint="eastAsia" w:asciiTheme="minorEastAsia" w:hAnsiTheme="minorEastAsia" w:eastAsiaTheme="minorEastAsia" w:cstheme="minorEastAsia"/>
                <w:color w:val="0000FF"/>
                <w:kern w:val="0"/>
                <w:sz w:val="21"/>
                <w:szCs w:val="21"/>
              </w:rPr>
              <w:t>试验</w:t>
            </w:r>
          </w:p>
        </w:tc>
        <w:tc>
          <w:tcPr>
            <w:tcW w:w="446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 w:val="21"/>
                <w:szCs w:val="21"/>
              </w:rPr>
              <w:t>4.按规定进行防坠器试验、电气试验、防雷设施及接地电阻等测试</w:t>
            </w:r>
          </w:p>
        </w:tc>
        <w:tc>
          <w:tcPr>
            <w:tcW w:w="30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1．增加“试验”的要求；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657" w:hRule="atLeast"/>
          <w:jc w:val="center"/>
        </w:trPr>
        <w:tc>
          <w:tcPr>
            <w:tcW w:w="759" w:type="dxa"/>
            <w:vMerge w:val="restart"/>
            <w:tcBorders>
              <w:tl2br w:val="nil"/>
              <w:tr2bl w:val="nil"/>
            </w:tcBorders>
            <w:textDirection w:val="tbRlV"/>
            <w:vAlign w:val="center"/>
          </w:tcPr>
          <w:p>
            <w:pPr>
              <w:widowControl/>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二、设备与指标（10 分）</w:t>
            </w:r>
          </w:p>
        </w:tc>
        <w:tc>
          <w:tcPr>
            <w:tcW w:w="1154" w:type="dxa"/>
            <w:tcBorders>
              <w:tl2br w:val="nil"/>
              <w:tr2bl w:val="nil"/>
            </w:tcBorders>
            <w:vAlign w:val="center"/>
          </w:tcPr>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设备</w:t>
            </w:r>
          </w:p>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证标</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1.纳入安全标志管理的产品有煤矿矿用产品安全标志；</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2.防爆设备有防爆合格证；</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3.有防爆电气设备和小型电器入井防爆检查记录</w:t>
            </w:r>
          </w:p>
        </w:tc>
        <w:tc>
          <w:tcPr>
            <w:tcW w:w="446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1.机电设备有产品合格证；</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2.纳入安标管理的产品有煤矿矿用产品安全标志；</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Cs/>
                <w:sz w:val="21"/>
                <w:szCs w:val="21"/>
              </w:rPr>
              <w:t>3.防爆设备有防爆合格证</w:t>
            </w:r>
          </w:p>
        </w:tc>
        <w:tc>
          <w:tcPr>
            <w:tcW w:w="30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1．描述差别，变化影响不大；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jc w:val="center"/>
        </w:trPr>
        <w:tc>
          <w:tcPr>
            <w:tcW w:w="759" w:type="dxa"/>
            <w:vMerge w:val="continue"/>
            <w:tcBorders>
              <w:tl2br w:val="nil"/>
              <w:tr2bl w:val="nil"/>
            </w:tcBorders>
            <w:vAlign w:val="center"/>
          </w:tcPr>
          <w:p>
            <w:pPr>
              <w:widowControl/>
              <w:jc w:val="left"/>
              <w:rPr>
                <w:rFonts w:hint="eastAsia" w:asciiTheme="minorEastAsia" w:hAnsiTheme="minorEastAsia" w:eastAsiaTheme="minorEastAsia" w:cstheme="minorEastAsia"/>
                <w:kern w:val="0"/>
                <w:sz w:val="21"/>
                <w:szCs w:val="21"/>
              </w:rPr>
            </w:pPr>
          </w:p>
        </w:tc>
        <w:tc>
          <w:tcPr>
            <w:tcW w:w="1154" w:type="dxa"/>
            <w:tcBorders>
              <w:tl2br w:val="nil"/>
              <w:tr2bl w:val="nil"/>
            </w:tcBorders>
            <w:vAlign w:val="center"/>
          </w:tcPr>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设备</w:t>
            </w:r>
          </w:p>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完好</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机电设备综合完好率不低于90%</w:t>
            </w:r>
          </w:p>
        </w:tc>
        <w:tc>
          <w:tcPr>
            <w:tcW w:w="446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机电设备综合完好率不低于90%</w:t>
            </w:r>
          </w:p>
        </w:tc>
        <w:tc>
          <w:tcPr>
            <w:tcW w:w="30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759" w:type="dxa"/>
            <w:vMerge w:val="continue"/>
            <w:tcBorders>
              <w:tl2br w:val="nil"/>
              <w:tr2bl w:val="nil"/>
            </w:tcBorders>
            <w:vAlign w:val="center"/>
          </w:tcPr>
          <w:p>
            <w:pPr>
              <w:widowControl/>
              <w:jc w:val="left"/>
              <w:rPr>
                <w:rFonts w:hint="eastAsia" w:asciiTheme="minorEastAsia" w:hAnsiTheme="minorEastAsia" w:eastAsiaTheme="minorEastAsia" w:cstheme="minorEastAsia"/>
                <w:kern w:val="0"/>
                <w:sz w:val="21"/>
                <w:szCs w:val="21"/>
              </w:rPr>
            </w:pPr>
          </w:p>
        </w:tc>
        <w:tc>
          <w:tcPr>
            <w:tcW w:w="1154" w:type="dxa"/>
            <w:tcBorders>
              <w:tl2br w:val="nil"/>
              <w:tr2bl w:val="nil"/>
            </w:tcBorders>
            <w:vAlign w:val="center"/>
          </w:tcPr>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固定</w:t>
            </w:r>
          </w:p>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设备</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大型在用固定设备完好</w:t>
            </w:r>
          </w:p>
        </w:tc>
        <w:tc>
          <w:tcPr>
            <w:tcW w:w="446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大型在用固定设备完好</w:t>
            </w:r>
          </w:p>
        </w:tc>
        <w:tc>
          <w:tcPr>
            <w:tcW w:w="30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58" w:hRule="atLeast"/>
          <w:jc w:val="center"/>
        </w:trPr>
        <w:tc>
          <w:tcPr>
            <w:tcW w:w="759" w:type="dxa"/>
            <w:vMerge w:val="continue"/>
            <w:tcBorders>
              <w:tl2br w:val="nil"/>
              <w:tr2bl w:val="nil"/>
            </w:tcBorders>
            <w:vAlign w:val="center"/>
          </w:tcPr>
          <w:p>
            <w:pPr>
              <w:widowControl/>
              <w:jc w:val="left"/>
              <w:rPr>
                <w:rFonts w:hint="eastAsia" w:asciiTheme="minorEastAsia" w:hAnsiTheme="minorEastAsia" w:eastAsiaTheme="minorEastAsia" w:cstheme="minorEastAsia"/>
                <w:kern w:val="0"/>
                <w:sz w:val="21"/>
                <w:szCs w:val="21"/>
              </w:rPr>
            </w:pPr>
          </w:p>
        </w:tc>
        <w:tc>
          <w:tcPr>
            <w:tcW w:w="1154" w:type="dxa"/>
            <w:tcBorders>
              <w:tl2br w:val="nil"/>
              <w:tr2bl w:val="nil"/>
            </w:tcBorders>
            <w:vAlign w:val="center"/>
          </w:tcPr>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小型</w:t>
            </w:r>
          </w:p>
          <w:p>
            <w:pPr>
              <w:widowControl/>
              <w:adjustRightInd w:val="0"/>
              <w:snapToGrid w:val="0"/>
              <w:spacing w:line="280" w:lineRule="exact"/>
              <w:jc w:val="center"/>
              <w:rPr>
                <w:rFonts w:hint="eastAsia" w:asciiTheme="minorEastAsia" w:hAnsiTheme="minorEastAsia" w:eastAsiaTheme="minorEastAsia" w:cstheme="minorEastAsia"/>
                <w:strike/>
                <w:kern w:val="0"/>
                <w:sz w:val="21"/>
                <w:szCs w:val="21"/>
              </w:rPr>
            </w:pPr>
            <w:r>
              <w:rPr>
                <w:rFonts w:hint="eastAsia" w:asciiTheme="minorEastAsia" w:hAnsiTheme="minorEastAsia" w:eastAsiaTheme="minorEastAsia" w:cstheme="minorEastAsia"/>
                <w:kern w:val="0"/>
                <w:sz w:val="21"/>
                <w:szCs w:val="21"/>
              </w:rPr>
              <w:t>电器</w:t>
            </w:r>
          </w:p>
        </w:tc>
        <w:tc>
          <w:tcPr>
            <w:tcW w:w="4463" w:type="dxa"/>
            <w:tcBorders>
              <w:tl2br w:val="nil"/>
              <w:tr2bl w:val="nil"/>
            </w:tcBorders>
            <w:vAlign w:val="center"/>
          </w:tcPr>
          <w:p>
            <w:pPr>
              <w:keepNext w:val="0"/>
              <w:keepLines w:val="0"/>
              <w:pageBreakBefore w:val="0"/>
              <w:kinsoku/>
              <w:wordWrap/>
              <w:overflowPunct/>
              <w:topLinePunct w:val="0"/>
              <w:autoSpaceDE/>
              <w:autoSpaceDN/>
              <w:bidi w:val="0"/>
              <w:spacing w:line="250" w:lineRule="exact"/>
              <w:textAlignment w:val="auto"/>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color w:val="0000FF"/>
                <w:sz w:val="21"/>
                <w:szCs w:val="21"/>
                <w:lang w:val="en-US" w:eastAsia="zh-CN" w:bidi="ar-SA"/>
              </w:rPr>
              <w:t>小型电器设备完好</w:t>
            </w:r>
          </w:p>
        </w:tc>
        <w:tc>
          <w:tcPr>
            <w:tcW w:w="4463" w:type="dxa"/>
            <w:tcBorders>
              <w:tl2br w:val="nil"/>
              <w:tr2bl w:val="nil"/>
            </w:tcBorders>
            <w:vAlign w:val="center"/>
          </w:tcPr>
          <w:p>
            <w:pPr>
              <w:keepNext w:val="0"/>
              <w:keepLines w:val="0"/>
              <w:pageBreakBefore w:val="0"/>
              <w:tabs>
                <w:tab w:val="left" w:pos="312"/>
              </w:tabs>
              <w:kinsoku/>
              <w:wordWrap/>
              <w:overflowPunct/>
              <w:topLinePunct w:val="0"/>
              <w:autoSpaceDE/>
              <w:autoSpaceDN/>
              <w:bidi w:val="0"/>
              <w:adjustRightInd w:val="0"/>
              <w:snapToGrid w:val="0"/>
              <w:spacing w:before="260" w:after="260" w:line="250" w:lineRule="exact"/>
              <w:textAlignment w:val="auto"/>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bCs/>
                <w:sz w:val="21"/>
                <w:szCs w:val="21"/>
              </w:rPr>
              <w:t>小型电器设备合格率不低于95%</w:t>
            </w:r>
          </w:p>
        </w:tc>
        <w:tc>
          <w:tcPr>
            <w:tcW w:w="3057" w:type="dxa"/>
            <w:tcBorders>
              <w:tl2br w:val="nil"/>
              <w:tr2bl w:val="nil"/>
            </w:tcBorders>
            <w:vAlign w:val="center"/>
          </w:tcPr>
          <w:p>
            <w:pPr>
              <w:keepNext w:val="0"/>
              <w:keepLines w:val="0"/>
              <w:pageBreakBefore w:val="0"/>
              <w:kinsoku/>
              <w:wordWrap/>
              <w:overflowPunct/>
              <w:topLinePunct w:val="0"/>
              <w:autoSpaceDE/>
              <w:autoSpaceDN/>
              <w:bidi w:val="0"/>
              <w:spacing w:line="250" w:lineRule="exact"/>
              <w:rPr>
                <w:rFonts w:hint="eastAsia" w:asciiTheme="minorEastAsia" w:hAnsiTheme="minorEastAsia" w:eastAsiaTheme="minorEastAsia" w:cstheme="minorEastAsia"/>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1．小型电器设备要求“台台完好”；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jc w:val="center"/>
        </w:trPr>
        <w:tc>
          <w:tcPr>
            <w:tcW w:w="759" w:type="dxa"/>
            <w:vMerge w:val="continue"/>
            <w:tcBorders>
              <w:tl2br w:val="nil"/>
              <w:tr2bl w:val="nil"/>
            </w:tcBorders>
            <w:vAlign w:val="center"/>
          </w:tcPr>
          <w:p>
            <w:pPr>
              <w:widowControl/>
              <w:jc w:val="left"/>
              <w:rPr>
                <w:rFonts w:hint="eastAsia" w:asciiTheme="minorEastAsia" w:hAnsiTheme="minorEastAsia" w:eastAsiaTheme="minorEastAsia" w:cstheme="minorEastAsia"/>
                <w:kern w:val="0"/>
                <w:sz w:val="21"/>
                <w:szCs w:val="21"/>
              </w:rPr>
            </w:pPr>
          </w:p>
        </w:tc>
        <w:tc>
          <w:tcPr>
            <w:tcW w:w="1154" w:type="dxa"/>
            <w:tcBorders>
              <w:tl2br w:val="nil"/>
              <w:tr2bl w:val="nil"/>
            </w:tcBorders>
            <w:vAlign w:val="center"/>
          </w:tcPr>
          <w:p>
            <w:pPr>
              <w:widowControl/>
              <w:adjustRightInd w:val="0"/>
              <w:snapToGrid w:val="0"/>
              <w:spacing w:line="28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rPr>
              <w:t>矿灯</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rPr>
              <w:t>使用双光源矿灯，在用矿灯完好率100%。矿井完好的矿灯总数至少应当比常用矿灯总人数多10%</w:t>
            </w:r>
          </w:p>
        </w:tc>
        <w:tc>
          <w:tcPr>
            <w:tcW w:w="446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strike/>
                <w:kern w:val="0"/>
                <w:sz w:val="21"/>
                <w:szCs w:val="21"/>
                <w:lang w:val="en-US" w:eastAsia="zh-CN" w:bidi="ar-SA"/>
              </w:rPr>
            </w:pPr>
            <w:r>
              <w:rPr>
                <w:rFonts w:hint="eastAsia" w:asciiTheme="minorEastAsia" w:hAnsiTheme="minorEastAsia" w:eastAsiaTheme="minorEastAsia" w:cstheme="minorEastAsia"/>
                <w:bCs/>
                <w:sz w:val="21"/>
                <w:szCs w:val="21"/>
              </w:rPr>
              <w:t>在用矿灯完好率100%，使用合格的双光源矿灯。完好矿灯总数应多出常用矿灯人数的10%以上</w:t>
            </w:r>
          </w:p>
        </w:tc>
        <w:tc>
          <w:tcPr>
            <w:tcW w:w="30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jc w:val="center"/>
        </w:trPr>
        <w:tc>
          <w:tcPr>
            <w:tcW w:w="759" w:type="dxa"/>
            <w:vMerge w:val="continue"/>
            <w:tcBorders>
              <w:tl2br w:val="nil"/>
              <w:tr2bl w:val="nil"/>
            </w:tcBorders>
            <w:vAlign w:val="center"/>
          </w:tcPr>
          <w:p>
            <w:pPr>
              <w:widowControl/>
              <w:jc w:val="left"/>
              <w:rPr>
                <w:rFonts w:hint="eastAsia" w:asciiTheme="minorEastAsia" w:hAnsiTheme="minorEastAsia" w:eastAsiaTheme="minorEastAsia" w:cstheme="minorEastAsia"/>
                <w:kern w:val="0"/>
                <w:sz w:val="21"/>
                <w:szCs w:val="21"/>
              </w:rPr>
            </w:pPr>
          </w:p>
        </w:tc>
        <w:tc>
          <w:tcPr>
            <w:tcW w:w="1154" w:type="dxa"/>
            <w:tcBorders>
              <w:tl2br w:val="nil"/>
              <w:tr2bl w:val="nil"/>
            </w:tcBorders>
            <w:vAlign w:val="center"/>
          </w:tcPr>
          <w:p>
            <w:pPr>
              <w:widowControl/>
              <w:adjustRightInd w:val="0"/>
              <w:snapToGrid w:val="0"/>
              <w:spacing w:line="28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rPr>
              <w:t>机电事故率</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rPr>
              <w:t>机电事故率不高于1%</w:t>
            </w:r>
          </w:p>
        </w:tc>
        <w:tc>
          <w:tcPr>
            <w:tcW w:w="446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Cs/>
                <w:sz w:val="21"/>
                <w:szCs w:val="21"/>
              </w:rPr>
              <w:t>机电事故率不高于1%</w:t>
            </w:r>
          </w:p>
        </w:tc>
        <w:tc>
          <w:tcPr>
            <w:tcW w:w="30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759" w:type="dxa"/>
            <w:vMerge w:val="continue"/>
            <w:tcBorders>
              <w:tl2br w:val="nil"/>
              <w:tr2bl w:val="nil"/>
            </w:tcBorders>
            <w:vAlign w:val="center"/>
          </w:tcPr>
          <w:p>
            <w:pPr>
              <w:widowControl/>
              <w:jc w:val="left"/>
              <w:rPr>
                <w:rFonts w:hint="eastAsia" w:asciiTheme="minorEastAsia" w:hAnsiTheme="minorEastAsia" w:eastAsiaTheme="minorEastAsia" w:cstheme="minorEastAsia"/>
                <w:kern w:val="0"/>
                <w:sz w:val="21"/>
                <w:szCs w:val="21"/>
              </w:rPr>
            </w:pPr>
          </w:p>
        </w:tc>
        <w:tc>
          <w:tcPr>
            <w:tcW w:w="1154" w:type="dxa"/>
            <w:tcBorders>
              <w:tl2br w:val="nil"/>
              <w:tr2bl w:val="nil"/>
            </w:tcBorders>
            <w:vAlign w:val="center"/>
          </w:tcPr>
          <w:p>
            <w:pPr>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设备待修率</w:t>
            </w:r>
          </w:p>
        </w:tc>
        <w:tc>
          <w:tcPr>
            <w:tcW w:w="446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p>
        </w:tc>
        <w:tc>
          <w:tcPr>
            <w:tcW w:w="446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color w:val="FF0000"/>
                <w:kern w:val="0"/>
                <w:sz w:val="21"/>
                <w:szCs w:val="21"/>
                <w:lang w:val="en-US" w:eastAsia="zh-CN" w:bidi="ar-SA"/>
              </w:rPr>
            </w:pPr>
            <w:r>
              <w:rPr>
                <w:rFonts w:hint="eastAsia" w:asciiTheme="minorEastAsia" w:hAnsiTheme="minorEastAsia" w:eastAsiaTheme="minorEastAsia" w:cstheme="minorEastAsia"/>
                <w:bCs/>
                <w:color w:val="FF0000"/>
                <w:sz w:val="21"/>
                <w:szCs w:val="21"/>
              </w:rPr>
              <w:t>设备待修率不高于5%</w:t>
            </w:r>
          </w:p>
        </w:tc>
        <w:tc>
          <w:tcPr>
            <w:tcW w:w="30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1．取消“设备待修率”的明确要求，变化影响不大；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jc w:val="center"/>
        </w:trPr>
        <w:tc>
          <w:tcPr>
            <w:tcW w:w="759" w:type="dxa"/>
            <w:vMerge w:val="continue"/>
            <w:tcBorders>
              <w:tl2br w:val="nil"/>
              <w:tr2bl w:val="nil"/>
            </w:tcBorders>
            <w:vAlign w:val="center"/>
          </w:tcPr>
          <w:p>
            <w:pPr>
              <w:widowControl/>
              <w:jc w:val="left"/>
              <w:rPr>
                <w:rFonts w:hint="eastAsia" w:asciiTheme="minorEastAsia" w:hAnsiTheme="minorEastAsia" w:eastAsiaTheme="minorEastAsia" w:cstheme="minorEastAsia"/>
                <w:kern w:val="0"/>
                <w:sz w:val="21"/>
                <w:szCs w:val="21"/>
              </w:rPr>
            </w:pPr>
          </w:p>
        </w:tc>
        <w:tc>
          <w:tcPr>
            <w:tcW w:w="1154" w:type="dxa"/>
            <w:tcBorders>
              <w:tl2br w:val="nil"/>
              <w:tr2bl w:val="nil"/>
            </w:tcBorders>
            <w:vAlign w:val="center"/>
          </w:tcPr>
          <w:p>
            <w:pPr>
              <w:adjustRightInd w:val="0"/>
              <w:snapToGrid w:val="0"/>
              <w:ind w:left="241" w:hanging="241" w:hangingChars="115"/>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设备</w:t>
            </w:r>
          </w:p>
          <w:p>
            <w:pPr>
              <w:adjustRightInd w:val="0"/>
              <w:snapToGrid w:val="0"/>
              <w:ind w:left="241" w:hanging="241" w:hangingChars="115"/>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大修</w:t>
            </w:r>
          </w:p>
          <w:p>
            <w:pPr>
              <w:adjustRightInd w:val="0"/>
              <w:snapToGrid w:val="0"/>
              <w:ind w:left="241" w:leftChars="0" w:hanging="241" w:hangingChars="115"/>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改造</w:t>
            </w:r>
          </w:p>
        </w:tc>
        <w:tc>
          <w:tcPr>
            <w:tcW w:w="446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p>
        </w:tc>
        <w:tc>
          <w:tcPr>
            <w:tcW w:w="446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color w:val="FF0000"/>
                <w:kern w:val="0"/>
                <w:sz w:val="21"/>
                <w:szCs w:val="21"/>
                <w:lang w:val="en-US" w:eastAsia="zh-CN" w:bidi="ar-SA"/>
              </w:rPr>
            </w:pPr>
            <w:r>
              <w:rPr>
                <w:rFonts w:hint="eastAsia" w:asciiTheme="minorEastAsia" w:hAnsiTheme="minorEastAsia" w:eastAsiaTheme="minorEastAsia" w:cstheme="minorEastAsia"/>
                <w:bCs/>
                <w:color w:val="FF0000"/>
                <w:sz w:val="21"/>
                <w:szCs w:val="21"/>
              </w:rPr>
              <w:t>设备更新改造按计划执行，设备大修计划应完成90%以上</w:t>
            </w:r>
          </w:p>
        </w:tc>
        <w:tc>
          <w:tcPr>
            <w:tcW w:w="30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1．取消“设备大修改造”的明确要求，变化影响不大；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053" w:hRule="atLeast"/>
          <w:jc w:val="center"/>
        </w:trPr>
        <w:tc>
          <w:tcPr>
            <w:tcW w:w="759" w:type="dxa"/>
            <w:vMerge w:val="restart"/>
            <w:tcBorders>
              <w:tl2br w:val="nil"/>
              <w:tr2bl w:val="nil"/>
            </w:tcBorders>
            <w:textDirection w:val="tbRlV"/>
            <w:vAlign w:val="center"/>
          </w:tcPr>
          <w:p>
            <w:pPr>
              <w:widowControl/>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三、煤矿机械（30分）</w:t>
            </w:r>
          </w:p>
        </w:tc>
        <w:tc>
          <w:tcPr>
            <w:tcW w:w="1154" w:type="dxa"/>
            <w:tcBorders>
              <w:tl2br w:val="nil"/>
              <w:tr2bl w:val="nil"/>
            </w:tcBorders>
            <w:vAlign w:val="center"/>
          </w:tcPr>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主要提升</w:t>
            </w:r>
          </w:p>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（立斜井绞车）</w:t>
            </w:r>
          </w:p>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系统</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1.系统能力满足生产需要；</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2.安全保护装置符合规定，按规定试验</w:t>
            </w:r>
            <w:r>
              <w:rPr>
                <w:rFonts w:hint="eastAsia" w:asciiTheme="minorEastAsia" w:hAnsiTheme="minorEastAsia" w:eastAsiaTheme="minorEastAsia" w:cstheme="minorEastAsia"/>
                <w:bCs/>
                <w:sz w:val="21"/>
                <w:szCs w:val="21"/>
              </w:rPr>
              <w:t>；</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3.立井提升装置的过卷过放、提升容器和载荷等符合规定；</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4.提升装置、连接装置及提升钢丝绳符合规定；</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5.立井井口及各水平阻车器、安全门、摇台等与提升信号闭锁；操车系统电缆、管路、难燃液符合《煤矿安全规程》规定；</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6.提升速度&gt;3m/s的立井提升系统安设有防撞梁和托罐装置；</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7.通信、信号装置完善；</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8.上、下井口及各水平安设有摄像头，机房有视频监视，主副井绞车房与矿调度室有直通电话；</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9.机房安设有应急照明装置；</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10.有电动机及主要轴承温度和振动监测，具备故障诊断功能；</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color w:val="0000FF"/>
                <w:kern w:val="0"/>
                <w:sz w:val="21"/>
                <w:szCs w:val="21"/>
              </w:rPr>
              <w:t>11.主井提升采用集中远程监控，实现无人值守；</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12.机械提升的进风立井或倾斜井巷中敷设电力电缆时，应当有可靠的保护措施，并经煤矿总工程师批准</w:t>
            </w:r>
          </w:p>
        </w:tc>
        <w:tc>
          <w:tcPr>
            <w:tcW w:w="44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1.提升系统能力满足矿井安全生产需要；</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2.各种安全保护装置符合《煤矿安全规程》规定；</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3.立井提升装置的过卷过放、提升容器和载荷等符合《煤矿安全规程》规定；</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4.提升装置、连接装置及提升钢丝绳符合《煤矿安全规程》规定；</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color w:val="FF0000"/>
                <w:sz w:val="21"/>
                <w:szCs w:val="21"/>
              </w:rPr>
              <w:t>5.制动装置可靠，副井及负力提升的系统使用可靠的电气制动；</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6.立井井口及各水平阻车器、安全门、摇台等与提升信号闭锁；</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7.提升速度大于3m/s的立井提升系统内，安设有防撞梁和缓冲托罐装置；</w:t>
            </w:r>
            <w:r>
              <w:rPr>
                <w:rFonts w:hint="eastAsia" w:asciiTheme="minorEastAsia" w:hAnsiTheme="minorEastAsia" w:eastAsiaTheme="minorEastAsia" w:cstheme="minorEastAsia"/>
                <w:bCs/>
                <w:color w:val="FF0000"/>
                <w:sz w:val="21"/>
                <w:szCs w:val="21"/>
              </w:rPr>
              <w:t>单绳缠绕式双滚筒绞车安设有地锁和离合器闭锁</w:t>
            </w:r>
            <w:r>
              <w:rPr>
                <w:rFonts w:hint="eastAsia" w:asciiTheme="minorEastAsia" w:hAnsiTheme="minorEastAsia" w:eastAsiaTheme="minorEastAsia" w:cstheme="minorEastAsia"/>
                <w:bCs/>
                <w:sz w:val="21"/>
                <w:szCs w:val="21"/>
              </w:rPr>
              <w:t>；</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color w:val="FF0000"/>
                <w:sz w:val="21"/>
                <w:szCs w:val="21"/>
              </w:rPr>
              <w:t>8.斜井提升制动减速度达不到要求时应设二级制动装置；</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9.提升系统通信、信号装置完善，主副井绞车房与矿调度室有直通电话；</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10.上、下井口及各水平安设有摄像头，机房有视频监视器；</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11.地面机房安设有应急照明装置；</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12.使用低耗、先进、可靠的电控装置，有电动机及主要轴承温度和振动监测；</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Cs/>
                <w:sz w:val="21"/>
                <w:szCs w:val="21"/>
              </w:rPr>
              <w:t>13.主井提升宜采用集中远程监控，可不配司机值守，但应设图像监视，并定时巡检</w:t>
            </w:r>
          </w:p>
        </w:tc>
        <w:tc>
          <w:tcPr>
            <w:tcW w:w="30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1．取消“制动装置”的明确要求，变化影响不大；</w:t>
            </w:r>
          </w:p>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2．取消“单绳缠绕式双滚筒绞车安设有地锁和离合器闭锁”，专业不涉及；</w:t>
            </w:r>
          </w:p>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3．取消“</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斜井提升制动</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”的要求，专业不涉及；</w:t>
            </w:r>
          </w:p>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小型电器设备要求“台台完好”；</w:t>
            </w:r>
          </w:p>
          <w:p>
            <w:pPr>
              <w:keepNext w:val="0"/>
              <w:keepLines w:val="0"/>
              <w:pageBreakBefore w:val="0"/>
              <w:widowControl/>
              <w:numPr>
                <w:ilvl w:val="0"/>
                <w:numId w:val="0"/>
              </w:numPr>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增加“主井提升采用远程监控，实现无人值守”的明确要求；</w:t>
            </w:r>
          </w:p>
          <w:p>
            <w:pPr>
              <w:keepNext w:val="0"/>
              <w:keepLines w:val="0"/>
              <w:pageBreakBefore w:val="0"/>
              <w:widowControl/>
              <w:numPr>
                <w:ilvl w:val="0"/>
                <w:numId w:val="0"/>
              </w:numPr>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t>5．</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增加“机械提升的进风立井或倾斜井巷中敷设电力电缆”的明确要求；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863" w:hRule="atLeast"/>
          <w:jc w:val="center"/>
        </w:trPr>
        <w:tc>
          <w:tcPr>
            <w:tcW w:w="759" w:type="dxa"/>
            <w:vMerge w:val="continue"/>
            <w:tcBorders>
              <w:tl2br w:val="nil"/>
              <w:tr2bl w:val="nil"/>
            </w:tcBorders>
            <w:vAlign w:val="center"/>
          </w:tcPr>
          <w:p>
            <w:pPr>
              <w:widowControl/>
              <w:jc w:val="left"/>
              <w:rPr>
                <w:rFonts w:hint="eastAsia" w:asciiTheme="minorEastAsia" w:hAnsiTheme="minorEastAsia" w:eastAsiaTheme="minorEastAsia" w:cstheme="minorEastAsia"/>
                <w:kern w:val="0"/>
                <w:sz w:val="21"/>
                <w:szCs w:val="21"/>
              </w:rPr>
            </w:pPr>
          </w:p>
        </w:tc>
        <w:tc>
          <w:tcPr>
            <w:tcW w:w="1154" w:type="dxa"/>
            <w:vMerge w:val="restart"/>
            <w:tcBorders>
              <w:tl2br w:val="nil"/>
              <w:tr2bl w:val="nil"/>
            </w:tcBorders>
            <w:vAlign w:val="center"/>
          </w:tcPr>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主要提升</w:t>
            </w:r>
          </w:p>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（带式</w:t>
            </w:r>
          </w:p>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输送机）</w:t>
            </w:r>
          </w:p>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系统</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1.钢丝绳牵引带式输送机：</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⑴能力满足矿井、采区安全生产需要，不混乘，不超速运人；</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⑵保护装置及钢丝绳检查使用符合《煤矿安全规程》规定，按规定试验；</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⑶</w:t>
            </w:r>
            <w:r>
              <w:rPr>
                <w:rFonts w:hint="eastAsia" w:asciiTheme="minorEastAsia" w:hAnsiTheme="minorEastAsia" w:eastAsiaTheme="minorEastAsia" w:cstheme="minorEastAsia"/>
                <w:color w:val="0000FF"/>
                <w:kern w:val="0"/>
                <w:sz w:val="21"/>
                <w:szCs w:val="21"/>
              </w:rPr>
              <w:t>全线</w:t>
            </w:r>
            <w:r>
              <w:rPr>
                <w:rFonts w:hint="eastAsia" w:asciiTheme="minorEastAsia" w:hAnsiTheme="minorEastAsia" w:eastAsiaTheme="minorEastAsia" w:cstheme="minorEastAsia"/>
                <w:kern w:val="0"/>
                <w:sz w:val="21"/>
                <w:szCs w:val="21"/>
              </w:rPr>
              <w:t>装设便于搭乘人员或其他人员操作的紧急停车装置；</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⑷上、下人地点设声光信号、语音提示和自动停车装置，卸煤口及终点下人处设有防止人员坠入及进入机尾的安全设施和保护；</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color w:val="0000FF"/>
                <w:kern w:val="0"/>
                <w:sz w:val="21"/>
                <w:szCs w:val="21"/>
              </w:rPr>
              <w:t>⑸采用非金属聚合物制造的胶带、绳衬、托辊的阻燃性能和抗静电性能符合有关标准的规定；各种绳轮、滚筒和托辊转动灵活；</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⑹上、下人和装、卸载处装设有摄像头，机房有视频监控；</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⑺机房有与矿调度室直通电话；</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⑻电机及主要轴承有温度振动监测，具备故障诊断功能；</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⑼</w:t>
            </w:r>
            <w:r>
              <w:rPr>
                <w:rFonts w:hint="eastAsia" w:asciiTheme="minorEastAsia" w:hAnsiTheme="minorEastAsia" w:eastAsiaTheme="minorEastAsia" w:cstheme="minorEastAsia"/>
                <w:color w:val="0000FF"/>
                <w:kern w:val="0"/>
                <w:sz w:val="21"/>
                <w:szCs w:val="21"/>
              </w:rPr>
              <w:t>采用集中远程监控，实现无人值守</w:t>
            </w:r>
          </w:p>
        </w:tc>
        <w:tc>
          <w:tcPr>
            <w:tcW w:w="44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1.钢丝绳牵引带式输送机：</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⑴提升运输能力满足矿井、采区安全生产需要，人货不混乘，不超速运人；</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⑵各种保护装置符合《煤矿安全规程》规定；</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⑶在输送机</w:t>
            </w:r>
            <w:r>
              <w:rPr>
                <w:rFonts w:hint="eastAsia" w:asciiTheme="minorEastAsia" w:hAnsiTheme="minorEastAsia" w:eastAsiaTheme="minorEastAsia" w:cstheme="minorEastAsia"/>
                <w:bCs/>
                <w:color w:val="FF0000"/>
                <w:sz w:val="21"/>
                <w:szCs w:val="21"/>
              </w:rPr>
              <w:t>全长任何地点</w:t>
            </w:r>
            <w:r>
              <w:rPr>
                <w:rFonts w:hint="eastAsia" w:asciiTheme="minorEastAsia" w:hAnsiTheme="minorEastAsia" w:eastAsiaTheme="minorEastAsia" w:cstheme="minorEastAsia"/>
                <w:bCs/>
                <w:sz w:val="21"/>
                <w:szCs w:val="21"/>
              </w:rPr>
              <w:t>装设便于搭乘人员或其他人员操作的紧急停车装置；</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⑷上、下人地点设声光信号、语音提示和自动停车装置，卸煤口及终点下人处设有防止人员坠入及进入机尾的安全设施和保护；</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⑸上、下人和装、卸载处装设有摄像头，机房有视频监视器；</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⑹</w:t>
            </w:r>
            <w:r>
              <w:rPr>
                <w:rFonts w:hint="eastAsia" w:asciiTheme="minorEastAsia" w:hAnsiTheme="minorEastAsia" w:eastAsiaTheme="minorEastAsia" w:cstheme="minorEastAsia"/>
                <w:bCs/>
                <w:color w:val="FF0000"/>
                <w:sz w:val="21"/>
                <w:szCs w:val="21"/>
              </w:rPr>
              <w:t>输送带、滚筒、托辊等材质符合规定，滚筒、托辊转动灵</w:t>
            </w:r>
            <w:r>
              <w:rPr>
                <w:rFonts w:hint="eastAsia" w:asciiTheme="minorEastAsia" w:hAnsiTheme="minorEastAsia" w:eastAsiaTheme="minorEastAsia" w:cstheme="minorEastAsia"/>
                <w:bCs/>
                <w:sz w:val="21"/>
                <w:szCs w:val="21"/>
              </w:rPr>
              <w:t>活，带面无损坏、漏钢丝等现象；</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⑺机房安设有与矿调度室直通电话；</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⑻使用低耗、先进、可靠的电控装置，有电动机及主要轴承温度和振动监测；</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 w:val="21"/>
                <w:szCs w:val="21"/>
              </w:rPr>
              <w:t>⑼宜采用集中远程监控，实现无人值守</w:t>
            </w:r>
          </w:p>
        </w:tc>
        <w:tc>
          <w:tcPr>
            <w:tcW w:w="3057"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t>1．将“全长任何地点”调整为“全线”，</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描述差别，变化影响不大；</w:t>
            </w:r>
          </w:p>
          <w:p>
            <w:pPr>
              <w:pStyle w:val="11"/>
              <w:keepNext w:val="0"/>
              <w:keepLines w:val="0"/>
              <w:pageBreakBefore w:val="0"/>
              <w:numPr>
                <w:ilvl w:val="0"/>
                <w:numId w:val="0"/>
              </w:numPr>
              <w:kinsoku/>
              <w:wordWrap/>
              <w:overflowPunct/>
              <w:topLinePunct w:val="0"/>
              <w:autoSpaceDE/>
              <w:autoSpaceDN/>
              <w:bidi w:val="0"/>
              <w:spacing w:line="250" w:lineRule="exact"/>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2．增加“</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非金属聚合物制造的</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胶带、绳衬、托辊等”，变化影响不大；</w:t>
            </w:r>
          </w:p>
          <w:p>
            <w:pPr>
              <w:pStyle w:val="11"/>
              <w:keepNext w:val="0"/>
              <w:keepLines w:val="0"/>
              <w:pageBreakBefore w:val="0"/>
              <w:numPr>
                <w:ilvl w:val="0"/>
                <w:numId w:val="0"/>
              </w:numPr>
              <w:kinsoku/>
              <w:wordWrap/>
              <w:overflowPunct/>
              <w:topLinePunct w:val="0"/>
              <w:autoSpaceDE/>
              <w:autoSpaceDN/>
              <w:bidi w:val="0"/>
              <w:spacing w:line="25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3．增加“集中远程监控”的明确要求，变电影响不大；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928" w:hRule="atLeast"/>
          <w:jc w:val="center"/>
        </w:trPr>
        <w:tc>
          <w:tcPr>
            <w:tcW w:w="759" w:type="dxa"/>
            <w:vMerge w:val="continue"/>
            <w:tcBorders>
              <w:tl2br w:val="nil"/>
              <w:tr2bl w:val="nil"/>
            </w:tcBorders>
            <w:vAlign w:val="center"/>
          </w:tcPr>
          <w:p>
            <w:pPr>
              <w:widowControl/>
              <w:jc w:val="left"/>
              <w:rPr>
                <w:rFonts w:hint="eastAsia" w:asciiTheme="minorEastAsia" w:hAnsiTheme="minorEastAsia" w:eastAsiaTheme="minorEastAsia" w:cstheme="minorEastAsia"/>
                <w:kern w:val="0"/>
                <w:sz w:val="21"/>
                <w:szCs w:val="21"/>
              </w:rPr>
            </w:pPr>
          </w:p>
        </w:tc>
        <w:tc>
          <w:tcPr>
            <w:tcW w:w="1154" w:type="dxa"/>
            <w:vMerge w:val="continue"/>
            <w:tcBorders>
              <w:tl2br w:val="nil"/>
              <w:tr2bl w:val="nil"/>
            </w:tcBorders>
            <w:vAlign w:val="center"/>
          </w:tcPr>
          <w:p>
            <w:pPr>
              <w:widowControl/>
              <w:jc w:val="left"/>
              <w:rPr>
                <w:rFonts w:hint="eastAsia" w:asciiTheme="minorEastAsia" w:hAnsiTheme="minorEastAsia" w:eastAsiaTheme="minorEastAsia" w:cstheme="minorEastAsia"/>
                <w:kern w:val="0"/>
                <w:sz w:val="21"/>
                <w:szCs w:val="21"/>
              </w:rPr>
            </w:pP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2.滚筒驱动带式输送机：</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⑴能力满足矿井、采区生产需要；</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⑵电动机保护齐全可靠；</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⑶设有防滑、防跑偏、防堆煤、防撕裂保护装置，以及温度、烟雾监测和自动洒水装置；主要运输巷道中带式输送机设有输送带张紧力下降保护装置；</w:t>
            </w:r>
            <w:r>
              <w:rPr>
                <w:rFonts w:hint="eastAsia" w:asciiTheme="minorEastAsia" w:hAnsiTheme="minorEastAsia" w:eastAsiaTheme="minorEastAsia" w:cstheme="minorEastAsia"/>
                <w:color w:val="0000FF"/>
                <w:sz w:val="21"/>
                <w:szCs w:val="21"/>
              </w:rPr>
              <w:t>主斜井必须装设自动报警灭火装置、敷设消防管路；</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color w:val="0000FF"/>
                <w:kern w:val="0"/>
                <w:sz w:val="21"/>
                <w:szCs w:val="21"/>
              </w:rPr>
              <w:t>⑷采用非金属聚合物制造的输送带、托辊和滚筒包胶材料的阻燃性能和抗静电性能符合有关标准的规定；滚筒、托辊转动灵活；</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⑸倾斜井巷中使用的带式输送机，上运时，应当装设防逆转装置和制动装置；下运时，应当装设软制动装置且必须装设防超速保护装置；</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⑹减速器与电动机采用软连接或软启动控制，液力偶合器严禁使用可燃性传动介质；</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⑺连续运输系统安设有连锁、闭锁控制装置，沿线安设有通信和信号装置，设有沿线紧急停车闭锁装置；</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⑻</w:t>
            </w:r>
            <w:r>
              <w:rPr>
                <w:rFonts w:hint="eastAsia" w:asciiTheme="minorEastAsia" w:hAnsiTheme="minorEastAsia" w:eastAsiaTheme="minorEastAsia" w:cstheme="minorEastAsia"/>
                <w:color w:val="0000FF"/>
                <w:kern w:val="0"/>
                <w:sz w:val="21"/>
                <w:szCs w:val="21"/>
              </w:rPr>
              <w:t>大于16°的</w:t>
            </w:r>
            <w:r>
              <w:rPr>
                <w:rFonts w:hint="eastAsia" w:asciiTheme="minorEastAsia" w:hAnsiTheme="minorEastAsia" w:eastAsiaTheme="minorEastAsia" w:cstheme="minorEastAsia"/>
                <w:kern w:val="0"/>
                <w:sz w:val="21"/>
                <w:szCs w:val="21"/>
              </w:rPr>
              <w:t>倾斜井巷中设置防护网，并采取防止物料下滑、滚落等安全措施；</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⑼机头、机尾、搭接及</w:t>
            </w:r>
            <w:r>
              <w:rPr>
                <w:rFonts w:hint="eastAsia" w:asciiTheme="minorEastAsia" w:hAnsiTheme="minorEastAsia" w:eastAsiaTheme="minorEastAsia" w:cstheme="minorEastAsia"/>
                <w:color w:val="0000FF"/>
                <w:kern w:val="0"/>
                <w:sz w:val="21"/>
                <w:szCs w:val="21"/>
              </w:rPr>
              <w:t>卸载点</w:t>
            </w:r>
            <w:r>
              <w:rPr>
                <w:rFonts w:hint="eastAsia" w:asciiTheme="minorEastAsia" w:hAnsiTheme="minorEastAsia" w:eastAsiaTheme="minorEastAsia" w:cstheme="minorEastAsia"/>
                <w:kern w:val="0"/>
                <w:sz w:val="21"/>
                <w:szCs w:val="21"/>
              </w:rPr>
              <w:t>处设有视频监视和照明，转动部位有防护栏和警示牌，行人跨越处设有过桥；</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⑽集中控制机房（硐室）安设有与矿调度室直通电话；</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⑾倾斜井巷使用的钢丝绳芯输送机有钢丝绳芯及接头状态检测装置；</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⑿有电动机及主要轴承温度和振动监测，具备故障诊断功能；</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⒀宜采用集中远程监控，实现无人值守</w:t>
            </w:r>
          </w:p>
        </w:tc>
        <w:tc>
          <w:tcPr>
            <w:tcW w:w="44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2.滚筒驱动带式输送机：</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⑴提升运输能力满足矿井、采区安全生产需要；</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⑵电动机保护齐全可靠；</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⑶装设有防滑、防跑偏、防堆煤、防撕裂和输送带张紧力下降保护装置，以及温度、烟雾监测和自动洒水装置；</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⑷上运运输机装设防逆转和制动装置，下运运输机装设有软制动装置且装设防超速装置；</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⑸减速器与电动机采用软连接或软启动控制，不应使用离心式联轴器，液力偶合器不使用可燃性传动介质（调速型液力偶合器不受此限）；</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⑹输送带、滚筒、托辊等材质符合规定，采用非金属聚合物制造的输送带、托辊和滚筒包胶材料的阻燃性能和抗静电性能符合有关标准的规定；滚筒、托辊转动灵活，带面无损坏、漏钢丝等现象；</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⑺倾斜井巷使用的钢丝绳芯输送机有钢丝绳芯及接头状态检测装备；</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⑻钢丝绳芯输送机设有沿线紧急停车、闭锁装置，装、卸载处设有摄像头；</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⑼机头、机尾及搭接处设有照明，转动部位设有防护栏和警示牌，行人跨越处设有过桥；</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⑽在大于16°的倾斜井巷中应当设置防护网，并采取防止物料下滑、滚落等安全措施；</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⑾连续运输系统安设有连锁、闭锁控制装置，沿线安设有通信和信号装置；</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⑿集中控制硐室安设有与矿调度室直通电话；</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⒀使用低耗、先进、可靠的电控装置，有电动机及主要轴承温度和振动监测；</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 w:val="21"/>
                <w:szCs w:val="21"/>
              </w:rPr>
              <w:t>⒁宜采用集中远程监控，实现无人值守</w:t>
            </w:r>
          </w:p>
        </w:tc>
        <w:tc>
          <w:tcPr>
            <w:tcW w:w="3057" w:type="dxa"/>
            <w:tcBorders>
              <w:tl2br w:val="nil"/>
              <w:tr2bl w:val="nil"/>
            </w:tcBorders>
            <w:vAlign w:val="center"/>
          </w:tcPr>
          <w:p>
            <w:pPr>
              <w:pStyle w:val="11"/>
              <w:keepNext w:val="0"/>
              <w:keepLines w:val="0"/>
              <w:pageBreakBefore w:val="0"/>
              <w:numPr>
                <w:ilvl w:val="0"/>
                <w:numId w:val="0"/>
              </w:numPr>
              <w:kinsoku/>
              <w:wordWrap/>
              <w:overflowPunct/>
              <w:topLinePunct w:val="0"/>
              <w:autoSpaceDE/>
              <w:autoSpaceDN/>
              <w:bidi w:val="0"/>
              <w:spacing w:line="250" w:lineRule="exact"/>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1．增加“主斜井消防”的明确要求，专业不涉及；</w:t>
            </w:r>
          </w:p>
          <w:p>
            <w:pPr>
              <w:pStyle w:val="11"/>
              <w:keepNext w:val="0"/>
              <w:keepLines w:val="0"/>
              <w:pageBreakBefore w:val="0"/>
              <w:numPr>
                <w:ilvl w:val="0"/>
                <w:numId w:val="0"/>
              </w:numPr>
              <w:kinsoku/>
              <w:wordWrap/>
              <w:overflowPunct/>
              <w:topLinePunct w:val="0"/>
              <w:autoSpaceDE/>
              <w:autoSpaceDN/>
              <w:bidi w:val="0"/>
              <w:spacing w:line="250" w:lineRule="exact"/>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2．增加“非金属聚合物制造的胶带、绳衬、托辊等”，变化影响不大；</w:t>
            </w:r>
          </w:p>
          <w:p>
            <w:pPr>
              <w:pStyle w:val="11"/>
              <w:keepNext w:val="0"/>
              <w:keepLines w:val="0"/>
              <w:pageBreakBefore w:val="0"/>
              <w:numPr>
                <w:ilvl w:val="0"/>
                <w:numId w:val="0"/>
              </w:numPr>
              <w:kinsoku/>
              <w:wordWrap/>
              <w:overflowPunct/>
              <w:topLinePunct w:val="0"/>
              <w:autoSpaceDE/>
              <w:autoSpaceDN/>
              <w:bidi w:val="0"/>
              <w:spacing w:line="250" w:lineRule="exact"/>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3．增加“卸载点”视频监视和照明的明确要求，变化影响不大；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83" w:hRule="atLeast"/>
          <w:jc w:val="center"/>
        </w:trPr>
        <w:tc>
          <w:tcPr>
            <w:tcW w:w="759" w:type="dxa"/>
            <w:vMerge w:val="continue"/>
            <w:tcBorders>
              <w:tl2br w:val="nil"/>
              <w:tr2bl w:val="nil"/>
            </w:tcBorders>
            <w:vAlign w:val="center"/>
          </w:tcPr>
          <w:p>
            <w:pPr>
              <w:widowControl/>
              <w:jc w:val="left"/>
              <w:rPr>
                <w:rFonts w:hint="eastAsia" w:asciiTheme="minorEastAsia" w:hAnsiTheme="minorEastAsia" w:eastAsiaTheme="minorEastAsia" w:cstheme="minorEastAsia"/>
                <w:kern w:val="0"/>
                <w:sz w:val="21"/>
                <w:szCs w:val="21"/>
              </w:rPr>
            </w:pPr>
          </w:p>
        </w:tc>
        <w:tc>
          <w:tcPr>
            <w:tcW w:w="1154" w:type="dxa"/>
            <w:tcBorders>
              <w:tl2br w:val="nil"/>
              <w:tr2bl w:val="nil"/>
            </w:tcBorders>
            <w:vAlign w:val="center"/>
          </w:tcPr>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主</w:t>
            </w:r>
            <w:r>
              <w:rPr>
                <w:rFonts w:hint="eastAsia" w:asciiTheme="minorEastAsia" w:hAnsiTheme="minorEastAsia" w:eastAsiaTheme="minorEastAsia" w:cstheme="minorEastAsia"/>
                <w:kern w:val="0"/>
                <w:sz w:val="21"/>
                <w:szCs w:val="21"/>
                <w:lang w:val="en-US" w:eastAsia="zh-CN"/>
              </w:rPr>
              <w:t>要</w:t>
            </w:r>
            <w:r>
              <w:rPr>
                <w:rFonts w:hint="eastAsia" w:asciiTheme="minorEastAsia" w:hAnsiTheme="minorEastAsia" w:eastAsiaTheme="minorEastAsia" w:cstheme="minorEastAsia"/>
                <w:kern w:val="0"/>
                <w:sz w:val="21"/>
                <w:szCs w:val="21"/>
              </w:rPr>
              <w:t>通</w:t>
            </w:r>
          </w:p>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风机</w:t>
            </w:r>
          </w:p>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系统</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1.性能满足矿井通风安全需要；</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2.电动机保护齐全、可靠；</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3.使用在线监测装置，且具备通风机轴承、电动机轴承、电动机定子绕组温度检测和超温报警功能，具备振动监测及报警功能；</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4.每月倒机、</w:t>
            </w:r>
            <w:r>
              <w:rPr>
                <w:rFonts w:hint="eastAsia" w:asciiTheme="minorEastAsia" w:hAnsiTheme="minorEastAsia" w:eastAsiaTheme="minorEastAsia" w:cstheme="minorEastAsia"/>
                <w:color w:val="0000FF"/>
                <w:kern w:val="0"/>
                <w:sz w:val="21"/>
                <w:szCs w:val="21"/>
              </w:rPr>
              <w:t>全面检查检修1次</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bCs/>
                <w:sz w:val="21"/>
                <w:szCs w:val="21"/>
              </w:rPr>
              <w:t>防爆门每6个月检查维修1次；</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5.有与矿调度室直通电话；</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6.设有水柱计、电流表、电压表等仪表，并定期校准；</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7.机房安设应急照明装置；</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r>
              <w:rPr>
                <w:rFonts w:hint="eastAsia" w:asciiTheme="minorEastAsia" w:hAnsiTheme="minorEastAsia" w:eastAsiaTheme="minorEastAsia" w:cstheme="minorEastAsia"/>
                <w:color w:val="0000FF"/>
                <w:kern w:val="0"/>
                <w:sz w:val="21"/>
                <w:szCs w:val="21"/>
              </w:rPr>
              <w:t>有故障诊断功能；</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r>
              <w:rPr>
                <w:rFonts w:hint="eastAsia" w:asciiTheme="minorEastAsia" w:hAnsiTheme="minorEastAsia" w:eastAsiaTheme="minorEastAsia" w:cstheme="minorEastAsia"/>
                <w:sz w:val="21"/>
                <w:szCs w:val="21"/>
              </w:rPr>
              <w:t>有主</w:t>
            </w:r>
            <w:r>
              <w:rPr>
                <w:rFonts w:hint="eastAsia" w:asciiTheme="minorEastAsia" w:hAnsiTheme="minorEastAsia" w:eastAsiaTheme="minorEastAsia" w:cstheme="minorEastAsia"/>
                <w:sz w:val="21"/>
                <w:szCs w:val="21"/>
                <w:lang w:val="en-US" w:eastAsia="zh-CN"/>
              </w:rPr>
              <w:t>要</w:t>
            </w:r>
            <w:r>
              <w:rPr>
                <w:rFonts w:hint="eastAsia" w:asciiTheme="minorEastAsia" w:hAnsiTheme="minorEastAsia" w:eastAsiaTheme="minorEastAsia" w:cstheme="minorEastAsia"/>
                <w:sz w:val="21"/>
                <w:szCs w:val="21"/>
              </w:rPr>
              <w:t>通风机停机应急预案</w:t>
            </w:r>
          </w:p>
        </w:tc>
        <w:tc>
          <w:tcPr>
            <w:tcW w:w="446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1.主要通风机性能满足矿井</w:t>
            </w:r>
            <w:r>
              <w:rPr>
                <w:rStyle w:val="10"/>
                <w:rFonts w:hint="eastAsia" w:asciiTheme="minorEastAsia" w:hAnsiTheme="minorEastAsia" w:eastAsiaTheme="minorEastAsia" w:cstheme="minorEastAsia"/>
                <w:bCs/>
                <w:sz w:val="21"/>
                <w:szCs w:val="21"/>
              </w:rPr>
              <w:t>通风安全需要；</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2.电动机保护齐全、可靠；</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3.使用在线监测装置，并且具备通风机轴承、电动机轴承、电动机定子绕组温度检测和超温报警功能，具备振动监测及报警功能；</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4.每月倒机、检查1次；</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5.安设有与矿调度室直通电话；</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6.机房设有水柱计、电流表、电压表仪表，并定期校准；</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7.机房安设应急照明装置；</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8.使用低耗、先进、可靠的电控装置</w:t>
            </w:r>
          </w:p>
        </w:tc>
        <w:tc>
          <w:tcPr>
            <w:tcW w:w="3057" w:type="dxa"/>
            <w:tcBorders>
              <w:tl2br w:val="nil"/>
              <w:tr2bl w:val="nil"/>
            </w:tcBorders>
            <w:vAlign w:val="center"/>
          </w:tcPr>
          <w:p>
            <w:pPr>
              <w:pStyle w:val="11"/>
              <w:keepNext w:val="0"/>
              <w:keepLines w:val="0"/>
              <w:pageBreakBefore w:val="0"/>
              <w:numPr>
                <w:ilvl w:val="0"/>
                <w:numId w:val="0"/>
              </w:numPr>
              <w:kinsoku/>
              <w:wordWrap/>
              <w:overflowPunct/>
              <w:topLinePunct w:val="0"/>
              <w:autoSpaceDE/>
              <w:autoSpaceDN/>
              <w:bidi w:val="0"/>
              <w:spacing w:line="250" w:lineRule="exact"/>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1．“每月检查”调整为“全面检查检修”，变化影响不大；</w:t>
            </w:r>
          </w:p>
          <w:p>
            <w:pPr>
              <w:pStyle w:val="11"/>
              <w:keepNext w:val="0"/>
              <w:keepLines w:val="0"/>
              <w:pageBreakBefore w:val="0"/>
              <w:numPr>
                <w:ilvl w:val="0"/>
                <w:numId w:val="0"/>
              </w:numPr>
              <w:kinsoku/>
              <w:wordWrap/>
              <w:overflowPunct/>
              <w:topLinePunct w:val="0"/>
              <w:autoSpaceDE/>
              <w:autoSpaceDN/>
              <w:bidi w:val="0"/>
              <w:spacing w:line="250" w:lineRule="exact"/>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2．增加“故障诊断功能”，变化影响不大；</w:t>
            </w:r>
          </w:p>
          <w:p>
            <w:pPr>
              <w:pStyle w:val="11"/>
              <w:keepNext w:val="0"/>
              <w:keepLines w:val="0"/>
              <w:pageBreakBefore w:val="0"/>
              <w:numPr>
                <w:ilvl w:val="0"/>
                <w:numId w:val="0"/>
              </w:numPr>
              <w:kinsoku/>
              <w:wordWrap/>
              <w:overflowPunct/>
              <w:topLinePunct w:val="0"/>
              <w:autoSpaceDE/>
              <w:autoSpaceDN/>
              <w:bidi w:val="0"/>
              <w:spacing w:line="25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3．增加“主要通风机停机应急预案”，变化影响不大；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949" w:hRule="atLeast"/>
          <w:jc w:val="center"/>
        </w:trPr>
        <w:tc>
          <w:tcPr>
            <w:tcW w:w="759" w:type="dxa"/>
            <w:vMerge w:val="continue"/>
            <w:tcBorders>
              <w:tl2br w:val="nil"/>
              <w:tr2bl w:val="nil"/>
            </w:tcBorders>
            <w:vAlign w:val="center"/>
          </w:tcPr>
          <w:p>
            <w:pPr>
              <w:widowControl/>
              <w:jc w:val="left"/>
              <w:rPr>
                <w:rFonts w:hint="eastAsia" w:asciiTheme="minorEastAsia" w:hAnsiTheme="minorEastAsia" w:eastAsiaTheme="minorEastAsia" w:cstheme="minorEastAsia"/>
                <w:kern w:val="0"/>
                <w:sz w:val="21"/>
                <w:szCs w:val="21"/>
              </w:rPr>
            </w:pPr>
          </w:p>
        </w:tc>
        <w:tc>
          <w:tcPr>
            <w:tcW w:w="1154" w:type="dxa"/>
            <w:tcBorders>
              <w:tl2br w:val="nil"/>
              <w:tr2bl w:val="nil"/>
            </w:tcBorders>
            <w:vAlign w:val="center"/>
          </w:tcPr>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压风</w:t>
            </w:r>
          </w:p>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系统</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1.能力满足矿井安全生产需要；</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2.电动机保护齐全、可靠；</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3.压力表、安全阀定期检查校准；释压阀定期检查；</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color w:val="0000FF"/>
                <w:kern w:val="0"/>
                <w:sz w:val="21"/>
                <w:szCs w:val="21"/>
              </w:rPr>
              <w:t>4.油质合格，断油保护可靠；</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5.水冷压缩机水质合格，断水保护可靠；</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6.风冷压缩机冷却系统及环境符合规定；</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7.温度保护可靠，定值准确；</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8.井下压缩机运转时有人监护；</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9.机房安设有应急照明装置；</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10.有电动机及主要轴承温度和振动监测，</w:t>
            </w:r>
            <w:r>
              <w:rPr>
                <w:rFonts w:hint="eastAsia" w:asciiTheme="minorEastAsia" w:hAnsiTheme="minorEastAsia" w:eastAsiaTheme="minorEastAsia" w:cstheme="minorEastAsia"/>
                <w:color w:val="0000FF"/>
                <w:kern w:val="0"/>
                <w:sz w:val="21"/>
                <w:szCs w:val="21"/>
              </w:rPr>
              <w:t>具备故障诊断功能；</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11.地面压缩机宜采用集中远程监控，实现无人值守</w:t>
            </w:r>
          </w:p>
        </w:tc>
        <w:tc>
          <w:tcPr>
            <w:tcW w:w="446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1.供风能力满足矿井安全生产需要；</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color w:val="FF0000"/>
                <w:sz w:val="21"/>
                <w:szCs w:val="21"/>
              </w:rPr>
              <w:t>2.压缩机、储气罐及管路设置符合《煤矿安全规程》和《特种设备安全法》等规定；</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3.电动机保护齐全、可靠；</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4.压力表、安全阀、释压阀设置齐全有效，定期校准；</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5.油质符合规定，有可靠的断油保护；</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6.水冷压缩机水质符合要求，有可靠的断水保护；</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7.风冷压缩机冷却系统及环境符合规定；</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8.温度保护齐全、可靠，定值准确；</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9.井下压缩机运转时有人监护；</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10.机房安设有应急照明装置；</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11.使用低耗、先进、可靠的电控装置，有电动机及主要轴承温度和振动监测；</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12.地面压缩机宜采用集中远程监控，实现无人值守</w:t>
            </w:r>
          </w:p>
        </w:tc>
        <w:tc>
          <w:tcPr>
            <w:tcW w:w="3057" w:type="dxa"/>
            <w:tcBorders>
              <w:tl2br w:val="nil"/>
              <w:tr2bl w:val="nil"/>
            </w:tcBorders>
            <w:vAlign w:val="center"/>
          </w:tcPr>
          <w:p>
            <w:pPr>
              <w:pStyle w:val="11"/>
              <w:keepNext w:val="0"/>
              <w:keepLines w:val="0"/>
              <w:pageBreakBefore w:val="0"/>
              <w:numPr>
                <w:ilvl w:val="0"/>
                <w:numId w:val="0"/>
              </w:numPr>
              <w:kinsoku/>
              <w:wordWrap/>
              <w:overflowPunct/>
              <w:topLinePunct w:val="0"/>
              <w:autoSpaceDE/>
              <w:autoSpaceDN/>
              <w:bidi w:val="0"/>
              <w:spacing w:line="250" w:lineRule="exact"/>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1．取消“</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压缩机、储气罐及管路</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”的要求，变化影响不大；</w:t>
            </w:r>
          </w:p>
          <w:p>
            <w:pPr>
              <w:pStyle w:val="11"/>
              <w:keepNext w:val="0"/>
              <w:keepLines w:val="0"/>
              <w:pageBreakBefore w:val="0"/>
              <w:numPr>
                <w:ilvl w:val="0"/>
                <w:numId w:val="0"/>
              </w:numPr>
              <w:kinsoku/>
              <w:wordWrap/>
              <w:overflowPunct/>
              <w:topLinePunct w:val="0"/>
              <w:autoSpaceDE/>
              <w:autoSpaceDN/>
              <w:bidi w:val="0"/>
              <w:spacing w:line="250" w:lineRule="exact"/>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2．“对油质和断油保护”描述差别，变化影响不大；</w:t>
            </w:r>
          </w:p>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3．增加“故障诊断功能”，变化影响不大；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863" w:hRule="atLeast"/>
          <w:jc w:val="center"/>
        </w:trPr>
        <w:tc>
          <w:tcPr>
            <w:tcW w:w="759" w:type="dxa"/>
            <w:vMerge w:val="continue"/>
            <w:tcBorders>
              <w:tl2br w:val="nil"/>
              <w:tr2bl w:val="nil"/>
            </w:tcBorders>
            <w:vAlign w:val="center"/>
          </w:tcPr>
          <w:p>
            <w:pPr>
              <w:widowControl/>
              <w:jc w:val="left"/>
              <w:rPr>
                <w:rFonts w:hint="eastAsia" w:asciiTheme="minorEastAsia" w:hAnsiTheme="minorEastAsia" w:eastAsiaTheme="minorEastAsia" w:cstheme="minorEastAsia"/>
                <w:kern w:val="0"/>
                <w:sz w:val="21"/>
                <w:szCs w:val="21"/>
              </w:rPr>
            </w:pPr>
          </w:p>
        </w:tc>
        <w:tc>
          <w:tcPr>
            <w:tcW w:w="1154" w:type="dxa"/>
            <w:tcBorders>
              <w:tl2br w:val="nil"/>
              <w:tr2bl w:val="nil"/>
            </w:tcBorders>
            <w:vAlign w:val="center"/>
          </w:tcPr>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排水</w:t>
            </w:r>
          </w:p>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系统</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1.矿井及下山采区主排水系统：</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⑴能力满足矿井、采区安全生产需要；</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⑵泵房及出口，水泵、管路、配电、控制设备，水仓蓄水能力符合《煤矿安全规程》规定；</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⑶有可靠的引水装置；</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⑷电动机保护装置齐全、可靠；有水位观测及高、低水位声光报警装置；</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⑸排水设施、水泵联合排水试验、水仓清理等符合《煤矿安全规程》规定；</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⑹有与矿调度室直通电话；</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⑺各种仪表齐全，及时校准；</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⑻有电动机及主要轴承温度和振动监测，</w:t>
            </w:r>
            <w:r>
              <w:rPr>
                <w:rFonts w:hint="eastAsia" w:asciiTheme="minorEastAsia" w:hAnsiTheme="minorEastAsia" w:eastAsiaTheme="minorEastAsia" w:cstheme="minorEastAsia"/>
                <w:color w:val="0000FF"/>
                <w:kern w:val="0"/>
                <w:sz w:val="21"/>
                <w:szCs w:val="21"/>
              </w:rPr>
              <w:t>具备故障诊断功能</w:t>
            </w:r>
            <w:r>
              <w:rPr>
                <w:rFonts w:hint="eastAsia" w:asciiTheme="minorEastAsia" w:hAnsiTheme="minorEastAsia" w:eastAsiaTheme="minorEastAsia" w:cstheme="minorEastAsia"/>
                <w:kern w:val="0"/>
                <w:sz w:val="21"/>
                <w:szCs w:val="21"/>
              </w:rPr>
              <w:t>；</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⑼宜采用集中远程监控，实现无人值守；</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2.其他排水地点：</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⑴设备及管路符合规定要求；</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⑵设备完好，保护齐全、可靠；</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⑶能力满足安全生产需要；</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⑷使用小型自动排水装置</w:t>
            </w:r>
          </w:p>
        </w:tc>
        <w:tc>
          <w:tcPr>
            <w:tcW w:w="446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Cs/>
                <w:sz w:val="21"/>
                <w:szCs w:val="21"/>
              </w:rPr>
              <w:t>1.矿井及采区主排水系统：</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Cs/>
                <w:sz w:val="21"/>
                <w:szCs w:val="21"/>
              </w:rPr>
              <w:t>⑴排水能力满足矿井、采区安全生产需要；</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Cs/>
                <w:sz w:val="21"/>
                <w:szCs w:val="21"/>
              </w:rPr>
              <w:t>⑵</w:t>
            </w:r>
            <w:r>
              <w:rPr>
                <w:rFonts w:hint="eastAsia" w:asciiTheme="minorEastAsia" w:hAnsiTheme="minorEastAsia" w:eastAsiaTheme="minorEastAsia" w:cstheme="minorEastAsia"/>
                <w:bCs/>
                <w:spacing w:val="-4"/>
                <w:sz w:val="21"/>
                <w:szCs w:val="21"/>
              </w:rPr>
              <w:t>泵房及出口，水泵、管路及配电、控制设备，水仓蓄水能力符合《煤矿安全规程》规定；</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Cs/>
                <w:sz w:val="21"/>
                <w:szCs w:val="21"/>
              </w:rPr>
              <w:t>⑶有可靠的引水装置；</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Cs/>
                <w:color w:val="FF0000"/>
                <w:sz w:val="21"/>
                <w:szCs w:val="21"/>
              </w:rPr>
              <w:t>⑷设有水位观测及高、低水位声光报警装置；</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Cs/>
                <w:color w:val="FF0000"/>
                <w:sz w:val="21"/>
                <w:szCs w:val="21"/>
              </w:rPr>
              <w:t>⑸电动机保护装置齐全、可靠；</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Cs/>
                <w:sz w:val="21"/>
                <w:szCs w:val="21"/>
              </w:rPr>
              <w:t>⑹排水设施、水泵联合排水试验、水仓清理等符合《煤矿安全规程》规定；</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Cs/>
                <w:sz w:val="21"/>
                <w:szCs w:val="21"/>
              </w:rPr>
              <w:t>⑺水泵房安设有与矿调度室直通电话；</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Cs/>
                <w:sz w:val="21"/>
                <w:szCs w:val="21"/>
              </w:rPr>
              <w:t>⑻各种仪表齐全，及时校准；</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Cs/>
                <w:sz w:val="21"/>
                <w:szCs w:val="21"/>
              </w:rPr>
              <w:t>⑼使用低耗、先进、可靠的电控装置，有电动机及主要轴承温度和振动监测；</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Cs/>
                <w:sz w:val="21"/>
                <w:szCs w:val="21"/>
              </w:rPr>
              <w:t>⑽宜采用集中远程监控，实现无人值守</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Cs/>
                <w:sz w:val="21"/>
                <w:szCs w:val="21"/>
              </w:rPr>
              <w:t>2.其他排水地点：</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Cs/>
                <w:sz w:val="21"/>
                <w:szCs w:val="21"/>
              </w:rPr>
              <w:t>⑴排水设备及管路符合规定要求；</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Cs/>
                <w:sz w:val="21"/>
                <w:szCs w:val="21"/>
              </w:rPr>
              <w:t>⑵设备完好，保护齐全、可靠；</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Cs/>
                <w:sz w:val="21"/>
                <w:szCs w:val="21"/>
              </w:rPr>
              <w:t>⑶排水能力满足安全生产需要；</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⑷使用小型自动排水装置</w:t>
            </w:r>
          </w:p>
        </w:tc>
        <w:tc>
          <w:tcPr>
            <w:tcW w:w="3057" w:type="dxa"/>
            <w:tcBorders>
              <w:tl2br w:val="nil"/>
              <w:tr2bl w:val="nil"/>
            </w:tcBorders>
            <w:vAlign w:val="center"/>
          </w:tcPr>
          <w:p>
            <w:pPr>
              <w:pStyle w:val="11"/>
              <w:keepNext w:val="0"/>
              <w:keepLines w:val="0"/>
              <w:pageBreakBefore w:val="0"/>
              <w:numPr>
                <w:ilvl w:val="0"/>
                <w:numId w:val="0"/>
              </w:numPr>
              <w:kinsoku/>
              <w:wordWrap/>
              <w:overflowPunct/>
              <w:topLinePunct w:val="0"/>
              <w:autoSpaceDE/>
              <w:autoSpaceDN/>
              <w:bidi w:val="0"/>
              <w:spacing w:line="250" w:lineRule="exact"/>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1．描述差别，变化影响不大；</w:t>
            </w:r>
          </w:p>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2．增加“故障诊断功能”，变化影响不大；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75" w:hRule="atLeast"/>
          <w:jc w:val="center"/>
        </w:trPr>
        <w:tc>
          <w:tcPr>
            <w:tcW w:w="759" w:type="dxa"/>
            <w:vMerge w:val="continue"/>
            <w:tcBorders>
              <w:tl2br w:val="nil"/>
              <w:tr2bl w:val="nil"/>
            </w:tcBorders>
            <w:vAlign w:val="center"/>
          </w:tcPr>
          <w:p>
            <w:pPr>
              <w:widowControl/>
              <w:jc w:val="left"/>
              <w:rPr>
                <w:rFonts w:hint="eastAsia" w:asciiTheme="minorEastAsia" w:hAnsiTheme="minorEastAsia" w:eastAsiaTheme="minorEastAsia" w:cstheme="minorEastAsia"/>
                <w:kern w:val="0"/>
                <w:sz w:val="21"/>
                <w:szCs w:val="21"/>
              </w:rPr>
            </w:pPr>
          </w:p>
        </w:tc>
        <w:tc>
          <w:tcPr>
            <w:tcW w:w="1154" w:type="dxa"/>
            <w:tcBorders>
              <w:tl2br w:val="nil"/>
              <w:tr2bl w:val="nil"/>
            </w:tcBorders>
            <w:vAlign w:val="center"/>
          </w:tcPr>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抽采瓦斯系统</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1.防回火、防回气、防爆炸以及泄爆、抑爆装置符合规定；</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2.设置甲烷、流量、压力、温度、一氧化碳等监测传感器；</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3.超温断水等保护齐全、可靠；</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4.压力表、水位计、温度表等仪器仪表齐全、有效；阀门灵活；</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5.机房有应急照明；</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6.瓦斯泵站内电气设备防爆性能符合要求，保护齐全、可靠；</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7.有防烟火、防静电、防雷电措施</w:t>
            </w:r>
          </w:p>
        </w:tc>
        <w:tc>
          <w:tcPr>
            <w:tcW w:w="446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1.抽采泵出气侧管路系统装设防回火、防回气、防爆炸的安全装置；</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2.根据输送方式的不同，设置甲烷、流量、压力、温度、一氧化碳等各种监测传感器；</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3.超温、断水等保护齐全、可靠；</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4.压力表、水位计、温度表等仪器仪表齐全、有效；</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5.机房安设有应急照明；</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6.电气设备防爆性能符合要求，保护齐全、可靠；</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7.阀门装置灵活；</w:t>
            </w:r>
          </w:p>
          <w:p>
            <w:pPr>
              <w:keepNext w:val="0"/>
              <w:keepLines w:val="0"/>
              <w:pageBreakBefore w:val="0"/>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 w:val="21"/>
                <w:szCs w:val="21"/>
              </w:rPr>
              <w:t>8.机房有防烟火、防静电、防雷电措施</w:t>
            </w:r>
          </w:p>
        </w:tc>
        <w:tc>
          <w:tcPr>
            <w:tcW w:w="30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1．专业不涉及；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162" w:hRule="atLeast"/>
          <w:jc w:val="center"/>
        </w:trPr>
        <w:tc>
          <w:tcPr>
            <w:tcW w:w="759" w:type="dxa"/>
            <w:vMerge w:val="restart"/>
            <w:tcBorders>
              <w:tl2br w:val="nil"/>
              <w:tr2bl w:val="nil"/>
            </w:tcBorders>
            <w:textDirection w:val="tbRlV"/>
            <w:vAlign w:val="center"/>
          </w:tcPr>
          <w:p>
            <w:pPr>
              <w:adjustRightInd w:val="0"/>
              <w:snapToGrid w:val="0"/>
              <w:ind w:left="113" w:right="113"/>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四、煤矿电气</w:t>
            </w:r>
          </w:p>
          <w:p>
            <w:pPr>
              <w:adjustRightInd w:val="0"/>
              <w:snapToGrid w:val="0"/>
              <w:ind w:left="113" w:right="113"/>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0"/>
                <w:sz w:val="21"/>
                <w:szCs w:val="21"/>
              </w:rPr>
              <w:t>（30分）</w:t>
            </w:r>
          </w:p>
        </w:tc>
        <w:tc>
          <w:tcPr>
            <w:tcW w:w="1154" w:type="dxa"/>
            <w:tcBorders>
              <w:tl2br w:val="nil"/>
              <w:tr2bl w:val="nil"/>
            </w:tcBorders>
            <w:vAlign w:val="center"/>
          </w:tcPr>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地面</w:t>
            </w:r>
          </w:p>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供电</w:t>
            </w:r>
          </w:p>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系统</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1.有矿井供电设计及供电系统图，能力满足安全生产需要；</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0000FF"/>
                <w:kern w:val="0"/>
                <w:sz w:val="21"/>
                <w:szCs w:val="21"/>
              </w:rPr>
              <w:t>矿井实现双回路供电</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kern w:val="0"/>
                <w:sz w:val="21"/>
                <w:szCs w:val="21"/>
              </w:rPr>
              <w:t>主变压器运行方式符合规定；</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r>
              <w:rPr>
                <w:rFonts w:hint="eastAsia" w:asciiTheme="minorEastAsia" w:hAnsiTheme="minorEastAsia" w:eastAsiaTheme="minorEastAsia" w:cstheme="minorEastAsia"/>
                <w:color w:val="0000FF"/>
                <w:kern w:val="0"/>
                <w:sz w:val="21"/>
                <w:szCs w:val="21"/>
              </w:rPr>
              <w:t>主要设备供电符合《煤矿安全规程》规定；</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4.各种保护设置齐全、</w:t>
            </w:r>
            <w:r>
              <w:rPr>
                <w:rFonts w:hint="eastAsia" w:asciiTheme="minorEastAsia" w:hAnsiTheme="minorEastAsia" w:eastAsiaTheme="minorEastAsia" w:cstheme="minorEastAsia"/>
                <w:color w:val="0000FF"/>
                <w:kern w:val="0"/>
                <w:sz w:val="21"/>
                <w:szCs w:val="21"/>
              </w:rPr>
              <w:t>短路电流计算和继电保护定值</w:t>
            </w:r>
            <w:r>
              <w:rPr>
                <w:rFonts w:hint="eastAsia" w:asciiTheme="minorEastAsia" w:hAnsiTheme="minorEastAsia" w:eastAsiaTheme="minorEastAsia" w:cstheme="minorEastAsia"/>
                <w:kern w:val="0"/>
                <w:sz w:val="21"/>
                <w:szCs w:val="21"/>
              </w:rPr>
              <w:t>合理、动作灵敏可靠，高压馈出侧装设有选择性的接地保护；</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5.变电所有可靠的操作电源；</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6.高压开关“五防”功能有效；</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7.反送电开关柜加锁并有明显标志；</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8.6kV及以上电网单相接地电容电流符合规定；</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9.电气工作票、操作票符合《电力安全工作规程》的要求；</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10.防雷设施齐全、可靠；</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11.电压、谐波参数符合规定；</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12.主要变电所实现综合自动化保护和控制，实现无人值守；</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13.变电所有应急照明装置；</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14.矿井变电所有与矿调度室直通电话，有录音功能；电力调度电话号码张贴在电话机旁</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1.有矿井供电设计及供电系统图，供电能力满足矿井安全生产需要；</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2.矿井供电主变压器运行方式符合规定；</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3.主要通风机、提升人员的绞车、抽采瓦斯泵、压风机以及地面安全监控中心等主要设备供电符合《煤矿安全规程》规定；</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4.各种保护设置齐全、定值合理、动作灵敏可靠，高压配出侧装设有选择性的接地保护；</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5.变电所有可靠的操作电源；</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color w:val="FF0000"/>
                <w:kern w:val="0"/>
                <w:sz w:val="21"/>
                <w:szCs w:val="21"/>
                <w:lang w:val="en-US" w:eastAsia="zh-CN"/>
              </w:rPr>
            </w:pPr>
            <w:r>
              <w:rPr>
                <w:rFonts w:hint="eastAsia" w:asciiTheme="minorEastAsia" w:hAnsiTheme="minorEastAsia" w:eastAsiaTheme="minorEastAsia" w:cstheme="minorEastAsia"/>
                <w:color w:val="FF0000"/>
                <w:kern w:val="0"/>
                <w:sz w:val="21"/>
                <w:szCs w:val="21"/>
                <w:lang w:val="en-US" w:eastAsia="zh-CN"/>
              </w:rPr>
              <w:t>6.直供电机开关或带有电容器的开关有欠压保护；</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color w:val="FF0000"/>
                <w:kern w:val="0"/>
                <w:sz w:val="21"/>
                <w:szCs w:val="21"/>
                <w:lang w:val="en-US" w:eastAsia="zh-CN"/>
              </w:rPr>
            </w:pPr>
            <w:r>
              <w:rPr>
                <w:rFonts w:hint="eastAsia" w:asciiTheme="minorEastAsia" w:hAnsiTheme="minorEastAsia" w:eastAsiaTheme="minorEastAsia" w:cstheme="minorEastAsia"/>
                <w:color w:val="FF0000"/>
                <w:kern w:val="0"/>
                <w:sz w:val="21"/>
                <w:szCs w:val="21"/>
                <w:lang w:val="en-US" w:eastAsia="zh-CN"/>
              </w:rPr>
              <w:t>7.高压开关柜具有防止误分合断路器、防止带负荷分合隔离开关、防止带电挂（合）接地线（接地开关）、防止带接地线（接地开关）合断路器（隔离开关）、防止误入带电间隔和通信功能；</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8.反送电开关柜加锁且有明显标志；</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9.矿井6000V及以上电网单相接地电容电流符合《煤矿安全规程》规定；</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10.电气工作票、操作票符合《电力安全工作规程》的要求；</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11.防雷设施齐全、可靠；</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12.供电电压、功率因数、谐波参数符合规定；</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13.矿井主要变电所实现综合自动化保护和控制，实现无人值守；</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14.变电所有应急照明装置；</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15.矿井变电所安设有与电力调度及矿调度室直通电话，并有录音功能</w:t>
            </w:r>
          </w:p>
        </w:tc>
        <w:tc>
          <w:tcPr>
            <w:tcW w:w="30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1．增加“双回路供电”的明确要求，变电影响不大；</w:t>
            </w:r>
          </w:p>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2．描述差异，变化影响不大；</w:t>
            </w:r>
          </w:p>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3．增加“短路电流计算和继电保护定值”的明确要求，变化影响不大；</w:t>
            </w:r>
          </w:p>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4．取消“欠压保护”的要求，变化影响不大；</w:t>
            </w:r>
          </w:p>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5．描述差异，变化影响不大；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053" w:hRule="atLeast"/>
          <w:jc w:val="center"/>
        </w:trPr>
        <w:tc>
          <w:tcPr>
            <w:tcW w:w="759" w:type="dxa"/>
            <w:vMerge w:val="continue"/>
            <w:tcBorders>
              <w:tl2br w:val="nil"/>
              <w:tr2bl w:val="nil"/>
            </w:tcBorders>
            <w:vAlign w:val="center"/>
          </w:tcPr>
          <w:p>
            <w:pPr>
              <w:widowControl/>
              <w:jc w:val="left"/>
              <w:rPr>
                <w:rFonts w:hint="eastAsia" w:asciiTheme="minorEastAsia" w:hAnsiTheme="minorEastAsia" w:eastAsiaTheme="minorEastAsia" w:cstheme="minorEastAsia"/>
                <w:bCs/>
                <w:sz w:val="21"/>
                <w:szCs w:val="21"/>
              </w:rPr>
            </w:pPr>
          </w:p>
        </w:tc>
        <w:tc>
          <w:tcPr>
            <w:tcW w:w="1154" w:type="dxa"/>
            <w:vMerge w:val="restart"/>
            <w:tcBorders>
              <w:tl2br w:val="nil"/>
              <w:tr2bl w:val="nil"/>
            </w:tcBorders>
            <w:vAlign w:val="center"/>
          </w:tcPr>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井下</w:t>
            </w:r>
          </w:p>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供电</w:t>
            </w:r>
          </w:p>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系统</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1.井下供配电网络：</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⑴各水平中央变电所、采区变电所、主排水泵房和下山开采的采区泵房供电线路符合规定，运行方式合理；</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⑵矿井、采区及采掘工作面等供电地点供电设计符合现场实际；</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⑶按规定进行继电保护核算、检查、整定和试验；</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⑷实行停送电审批和工作票制度；</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⑸井下变电所、配电点供电系统图与实际相符；</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⑹调度室、变电所有停送电记录；</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⑺变电所设有与矿调度室直通电话；</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⑻变电所设置符合规定；</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⑼采区变电所应有专人值班或关门加锁并定期巡检；</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⑽</w:t>
            </w:r>
            <w:r>
              <w:rPr>
                <w:rFonts w:hint="eastAsia" w:asciiTheme="minorEastAsia" w:hAnsiTheme="minorEastAsia" w:eastAsiaTheme="minorEastAsia" w:cstheme="minorEastAsia"/>
                <w:color w:val="0000FF"/>
                <w:kern w:val="0"/>
                <w:sz w:val="21"/>
                <w:szCs w:val="21"/>
              </w:rPr>
              <w:t>采用集中远程监控，实现无人值守</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1.井下供配电网络：</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⑴各水平中央变电所、采区变电所、主排水泵房和下山开采的采区泵房供电线路符合《煤矿安全规程》规定，运行方式合理；</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color w:val="FF0000"/>
                <w:kern w:val="0"/>
                <w:sz w:val="21"/>
                <w:szCs w:val="21"/>
                <w:lang w:val="en-US" w:eastAsia="zh-CN"/>
              </w:rPr>
            </w:pPr>
            <w:r>
              <w:rPr>
                <w:rFonts w:hint="eastAsia" w:asciiTheme="minorEastAsia" w:hAnsiTheme="minorEastAsia" w:eastAsiaTheme="minorEastAsia" w:cstheme="minorEastAsia"/>
                <w:color w:val="FF0000"/>
                <w:kern w:val="0"/>
                <w:sz w:val="21"/>
                <w:szCs w:val="21"/>
                <w:lang w:val="en-US" w:eastAsia="zh-CN"/>
              </w:rPr>
              <w:t>⑵各级变电所运行管理符合规定；</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⑶矿井、采区及采掘工作面等供电地点均有合格的供电系统设计，符合现场实际；</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⑷按规定进行继电保护核算、检查和整定；</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⑸井下变电所高压馈电线上安装有选择性接地保护装置；</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color w:val="FF0000"/>
                <w:kern w:val="0"/>
                <w:sz w:val="21"/>
                <w:szCs w:val="21"/>
                <w:lang w:val="en-US" w:eastAsia="zh-CN"/>
              </w:rPr>
              <w:t>⑹配电网路开关分断能力、可靠动作系数和动、热稳定性以及电缆的热稳定性符合规定；</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⑺实行停送电审批和工作票制度；</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⑻井下变电所、配电点悬挂与实际相符的供电系统图；</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⑼调度室、变电所有停送电记录；</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⑽变电所设有与矿调度室直通电话；</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⑾变电所设置符合《煤矿安全规程》规定；</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⑿采区变电所应有专人值班或关门加锁并定期巡检；</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⒀宜采用集中远程监控，实现无人值守</w:t>
            </w:r>
          </w:p>
        </w:tc>
        <w:tc>
          <w:tcPr>
            <w:tcW w:w="3057"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t>1．</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取消“各级变电所运行管理”的要求，变化影响不大；</w:t>
            </w:r>
          </w:p>
          <w:p>
            <w:pPr>
              <w:keepNext w:val="0"/>
              <w:keepLines w:val="0"/>
              <w:pageBreakBefore w:val="0"/>
              <w:widowControl/>
              <w:numPr>
                <w:ilvl w:val="0"/>
                <w:numId w:val="0"/>
              </w:numPr>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t>2．</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取消“配电网路开关”的要求，变化影响不大；</w:t>
            </w:r>
          </w:p>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3．明确“井下供电系统</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采用集中远程监控，实现无人值守</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”，变化影响不大；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9" w:type="dxa"/>
            <w:vMerge w:val="continue"/>
            <w:tcBorders>
              <w:tl2br w:val="nil"/>
              <w:tr2bl w:val="nil"/>
            </w:tcBorders>
            <w:vAlign w:val="center"/>
          </w:tcPr>
          <w:p>
            <w:pPr>
              <w:widowControl/>
              <w:jc w:val="left"/>
              <w:rPr>
                <w:rFonts w:hint="eastAsia" w:asciiTheme="minorEastAsia" w:hAnsiTheme="minorEastAsia" w:eastAsiaTheme="minorEastAsia" w:cstheme="minorEastAsia"/>
                <w:bCs/>
                <w:sz w:val="21"/>
                <w:szCs w:val="21"/>
              </w:rPr>
            </w:pPr>
          </w:p>
        </w:tc>
        <w:tc>
          <w:tcPr>
            <w:tcW w:w="1154" w:type="dxa"/>
            <w:vMerge w:val="continue"/>
            <w:tcBorders>
              <w:tl2br w:val="nil"/>
              <w:tr2bl w:val="nil"/>
            </w:tcBorders>
            <w:vAlign w:val="center"/>
          </w:tcPr>
          <w:p>
            <w:pPr>
              <w:widowControl/>
              <w:jc w:val="left"/>
              <w:rPr>
                <w:rFonts w:hint="eastAsia" w:asciiTheme="minorEastAsia" w:hAnsiTheme="minorEastAsia" w:eastAsiaTheme="minorEastAsia" w:cstheme="minorEastAsia"/>
                <w:kern w:val="0"/>
                <w:sz w:val="21"/>
                <w:szCs w:val="21"/>
              </w:rPr>
            </w:pP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r>
              <w:rPr>
                <w:rFonts w:hint="eastAsia" w:asciiTheme="minorEastAsia" w:hAnsiTheme="minorEastAsia" w:eastAsiaTheme="minorEastAsia" w:cstheme="minorEastAsia"/>
                <w:color w:val="0000FF"/>
                <w:kern w:val="0"/>
                <w:sz w:val="21"/>
                <w:szCs w:val="21"/>
              </w:rPr>
              <w:t>电缆</w:t>
            </w:r>
            <w:r>
              <w:rPr>
                <w:rFonts w:hint="eastAsia" w:asciiTheme="minorEastAsia" w:hAnsiTheme="minorEastAsia" w:eastAsiaTheme="minorEastAsia" w:cstheme="minorEastAsia"/>
                <w:kern w:val="0"/>
                <w:sz w:val="21"/>
                <w:szCs w:val="21"/>
              </w:rPr>
              <w:t>、防爆电气设备及小型电器无失爆</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2.防爆电气设备及小型电器无失爆</w:t>
            </w:r>
          </w:p>
        </w:tc>
        <w:tc>
          <w:tcPr>
            <w:tcW w:w="30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1．增加“电缆无失爆”的要求，变化影响不大；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42" w:hRule="atLeast"/>
          <w:jc w:val="center"/>
        </w:trPr>
        <w:tc>
          <w:tcPr>
            <w:tcW w:w="759" w:type="dxa"/>
            <w:vMerge w:val="continue"/>
            <w:tcBorders>
              <w:tl2br w:val="nil"/>
              <w:tr2bl w:val="nil"/>
            </w:tcBorders>
            <w:vAlign w:val="center"/>
          </w:tcPr>
          <w:p>
            <w:pPr>
              <w:widowControl/>
              <w:jc w:val="left"/>
              <w:rPr>
                <w:rFonts w:hint="eastAsia" w:asciiTheme="minorEastAsia" w:hAnsiTheme="minorEastAsia" w:eastAsiaTheme="minorEastAsia" w:cstheme="minorEastAsia"/>
                <w:bCs/>
                <w:sz w:val="21"/>
                <w:szCs w:val="21"/>
              </w:rPr>
            </w:pPr>
          </w:p>
        </w:tc>
        <w:tc>
          <w:tcPr>
            <w:tcW w:w="1154" w:type="dxa"/>
            <w:vMerge w:val="continue"/>
            <w:tcBorders>
              <w:tl2br w:val="nil"/>
              <w:tr2bl w:val="nil"/>
            </w:tcBorders>
            <w:vAlign w:val="center"/>
          </w:tcPr>
          <w:p>
            <w:pPr>
              <w:widowControl/>
              <w:jc w:val="left"/>
              <w:rPr>
                <w:rFonts w:hint="eastAsia" w:asciiTheme="minorEastAsia" w:hAnsiTheme="minorEastAsia" w:eastAsiaTheme="minorEastAsia" w:cstheme="minorEastAsia"/>
                <w:kern w:val="0"/>
                <w:sz w:val="21"/>
                <w:szCs w:val="21"/>
              </w:rPr>
            </w:pP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3.采掘工作面供电：</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⑴配电点设置符合规定；</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⑵掘进工作面“三专两闭锁”设置齐全、灵敏可靠；</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⑶采煤工作面甲烷电闭锁设置齐全、灵敏可靠；</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⑷按要求试验，有试验记录</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3.采掘工作面供电：</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⑴配电点设置符合《煤矿安全规程》规定；</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⑵掘进工作面“三专两闭锁”设置齐全、灵敏可靠；</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⑶采煤工作面甲烷电闭锁设置齐全、灵敏可靠；</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⑷按要求试验，有试验记录</w:t>
            </w:r>
          </w:p>
        </w:tc>
        <w:tc>
          <w:tcPr>
            <w:tcW w:w="30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98" w:hRule="atLeast"/>
          <w:jc w:val="center"/>
        </w:trPr>
        <w:tc>
          <w:tcPr>
            <w:tcW w:w="759" w:type="dxa"/>
            <w:vMerge w:val="continue"/>
            <w:tcBorders>
              <w:tl2br w:val="nil"/>
              <w:tr2bl w:val="nil"/>
            </w:tcBorders>
            <w:vAlign w:val="center"/>
          </w:tcPr>
          <w:p>
            <w:pPr>
              <w:widowControl/>
              <w:jc w:val="left"/>
              <w:rPr>
                <w:rFonts w:hint="eastAsia" w:asciiTheme="minorEastAsia" w:hAnsiTheme="minorEastAsia" w:eastAsiaTheme="minorEastAsia" w:cstheme="minorEastAsia"/>
                <w:bCs/>
                <w:sz w:val="21"/>
                <w:szCs w:val="21"/>
              </w:rPr>
            </w:pPr>
          </w:p>
        </w:tc>
        <w:tc>
          <w:tcPr>
            <w:tcW w:w="1154" w:type="dxa"/>
            <w:vMerge w:val="continue"/>
            <w:tcBorders>
              <w:tl2br w:val="nil"/>
              <w:tr2bl w:val="nil"/>
            </w:tcBorders>
            <w:vAlign w:val="center"/>
          </w:tcPr>
          <w:p>
            <w:pPr>
              <w:widowControl/>
              <w:jc w:val="left"/>
              <w:rPr>
                <w:rFonts w:hint="eastAsia" w:asciiTheme="minorEastAsia" w:hAnsiTheme="minorEastAsia" w:eastAsiaTheme="minorEastAsia" w:cstheme="minorEastAsia"/>
                <w:kern w:val="0"/>
                <w:sz w:val="21"/>
                <w:szCs w:val="21"/>
              </w:rPr>
            </w:pP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4.高压供电装备：</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⑴高压控制设备装有短路、过负荷、接地和欠压释放保护；</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⑵向移动变电站和高压电动机供电的馈电线</w:t>
            </w:r>
            <w:r>
              <w:rPr>
                <w:rFonts w:hint="eastAsia" w:asciiTheme="minorEastAsia" w:hAnsiTheme="minorEastAsia" w:eastAsiaTheme="minorEastAsia" w:cstheme="minorEastAsia"/>
                <w:kern w:val="0"/>
                <w:sz w:val="21"/>
                <w:szCs w:val="21"/>
                <w:lang w:val="en-US" w:eastAsia="zh-CN"/>
              </w:rPr>
              <w:t>路</w:t>
            </w:r>
            <w:r>
              <w:rPr>
                <w:rFonts w:hint="eastAsia" w:asciiTheme="minorEastAsia" w:hAnsiTheme="minorEastAsia" w:eastAsiaTheme="minorEastAsia" w:cstheme="minorEastAsia"/>
                <w:kern w:val="0"/>
                <w:sz w:val="21"/>
                <w:szCs w:val="21"/>
              </w:rPr>
              <w:t>上</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装选择性的动作于跳闸单相接地保护；</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⑶真空高压隔爆开关装设有过电压保护</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4.高压供电装备：</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⑴高压控制设备装有短路、过负荷、接地和欠压释放保护；</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⑵向移动变电站和高压电动机供电的馈电线上装有有选择性的动作于跳闸的单相接地保护；</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⑶真空高压隔爆开关装设有过电压保护；</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FF0000"/>
                <w:kern w:val="0"/>
                <w:sz w:val="21"/>
                <w:szCs w:val="21"/>
              </w:rPr>
              <w:t>⑷推广设有通信功能的装备</w:t>
            </w:r>
          </w:p>
        </w:tc>
        <w:tc>
          <w:tcPr>
            <w:tcW w:w="30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1．取消“推广通信功能装备”的要求，变化影响不大；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657" w:hRule="atLeast"/>
          <w:jc w:val="center"/>
        </w:trPr>
        <w:tc>
          <w:tcPr>
            <w:tcW w:w="759" w:type="dxa"/>
            <w:vMerge w:val="continue"/>
            <w:tcBorders>
              <w:tl2br w:val="nil"/>
              <w:tr2bl w:val="nil"/>
            </w:tcBorders>
            <w:vAlign w:val="center"/>
          </w:tcPr>
          <w:p>
            <w:pPr>
              <w:widowControl/>
              <w:jc w:val="left"/>
              <w:rPr>
                <w:rFonts w:hint="eastAsia" w:asciiTheme="minorEastAsia" w:hAnsiTheme="minorEastAsia" w:eastAsiaTheme="minorEastAsia" w:cstheme="minorEastAsia"/>
                <w:bCs/>
                <w:sz w:val="21"/>
                <w:szCs w:val="21"/>
              </w:rPr>
            </w:pPr>
          </w:p>
        </w:tc>
        <w:tc>
          <w:tcPr>
            <w:tcW w:w="1154" w:type="dxa"/>
            <w:vMerge w:val="continue"/>
            <w:tcBorders>
              <w:tl2br w:val="nil"/>
              <w:tr2bl w:val="nil"/>
            </w:tcBorders>
            <w:vAlign w:val="center"/>
          </w:tcPr>
          <w:p>
            <w:pPr>
              <w:widowControl/>
              <w:jc w:val="left"/>
              <w:rPr>
                <w:rFonts w:hint="eastAsia" w:asciiTheme="minorEastAsia" w:hAnsiTheme="minorEastAsia" w:eastAsiaTheme="minorEastAsia" w:cstheme="minorEastAsia"/>
                <w:kern w:val="0"/>
                <w:sz w:val="21"/>
                <w:szCs w:val="21"/>
              </w:rPr>
            </w:pP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5.低压</w:t>
            </w:r>
            <w:r>
              <w:rPr>
                <w:rFonts w:hint="eastAsia" w:asciiTheme="minorEastAsia" w:hAnsiTheme="minorEastAsia" w:eastAsiaTheme="minorEastAsia" w:cstheme="minorEastAsia"/>
                <w:sz w:val="21"/>
                <w:szCs w:val="21"/>
              </w:rPr>
              <w:t>和</w:t>
            </w:r>
            <w:r>
              <w:rPr>
                <w:rFonts w:hint="eastAsia" w:asciiTheme="minorEastAsia" w:hAnsiTheme="minorEastAsia" w:eastAsiaTheme="minorEastAsia" w:cstheme="minorEastAsia"/>
                <w:color w:val="0000FF"/>
                <w:sz w:val="21"/>
                <w:szCs w:val="21"/>
              </w:rPr>
              <w:t>3300V</w:t>
            </w:r>
            <w:r>
              <w:rPr>
                <w:rFonts w:hint="eastAsia" w:asciiTheme="minorEastAsia" w:hAnsiTheme="minorEastAsia" w:eastAsiaTheme="minorEastAsia" w:cstheme="minorEastAsia"/>
                <w:kern w:val="0"/>
                <w:sz w:val="21"/>
                <w:szCs w:val="21"/>
              </w:rPr>
              <w:t>供电装备：</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⑴采区变电所、移动变电站或者配电点引出的馈电线上有短路、过负荷和漏电保护；</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⑵有检漏或选择性的漏电保护；</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⑶按要求试验，有试验记录</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5.低压供电装备：</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⑴采区变电所、移动变电站或者配电点引出的馈电线上有短路、过负荷和漏电保护；</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⑵有检漏或选择性的漏电保护；</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⑶按要求试验，有试验记录；</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FF0000"/>
                <w:kern w:val="0"/>
                <w:sz w:val="21"/>
                <w:szCs w:val="21"/>
                <w:lang w:val="en-US" w:eastAsia="zh-CN"/>
              </w:rPr>
              <w:t>⑷推广设有通信功能的装备</w:t>
            </w:r>
          </w:p>
        </w:tc>
        <w:tc>
          <w:tcPr>
            <w:tcW w:w="30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1．取消“推广通信功能装备”的要求，变化影响不大；；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98" w:hRule="atLeast"/>
          <w:jc w:val="center"/>
        </w:trPr>
        <w:tc>
          <w:tcPr>
            <w:tcW w:w="759" w:type="dxa"/>
            <w:vMerge w:val="continue"/>
            <w:tcBorders>
              <w:tl2br w:val="nil"/>
              <w:tr2bl w:val="nil"/>
            </w:tcBorders>
            <w:vAlign w:val="center"/>
          </w:tcPr>
          <w:p>
            <w:pPr>
              <w:widowControl/>
              <w:jc w:val="left"/>
              <w:rPr>
                <w:rFonts w:hint="eastAsia" w:asciiTheme="minorEastAsia" w:hAnsiTheme="minorEastAsia" w:eastAsiaTheme="minorEastAsia" w:cstheme="minorEastAsia"/>
                <w:bCs/>
                <w:sz w:val="21"/>
                <w:szCs w:val="21"/>
              </w:rPr>
            </w:pPr>
          </w:p>
        </w:tc>
        <w:tc>
          <w:tcPr>
            <w:tcW w:w="1154" w:type="dxa"/>
            <w:vMerge w:val="continue"/>
            <w:tcBorders>
              <w:tl2br w:val="nil"/>
              <w:tr2bl w:val="nil"/>
            </w:tcBorders>
            <w:vAlign w:val="center"/>
          </w:tcPr>
          <w:p>
            <w:pPr>
              <w:widowControl/>
              <w:jc w:val="left"/>
              <w:rPr>
                <w:rFonts w:hint="eastAsia" w:asciiTheme="minorEastAsia" w:hAnsiTheme="minorEastAsia" w:eastAsiaTheme="minorEastAsia" w:cstheme="minorEastAsia"/>
                <w:kern w:val="0"/>
                <w:sz w:val="21"/>
                <w:szCs w:val="21"/>
              </w:rPr>
            </w:pP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6.变压器及电动机控制设备：</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⑴干式变压器、移动变电站过负荷、短路等保护齐全可靠；</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⑵低压</w:t>
            </w:r>
            <w:r>
              <w:rPr>
                <w:rFonts w:hint="eastAsia" w:asciiTheme="minorEastAsia" w:hAnsiTheme="minorEastAsia" w:eastAsiaTheme="minorEastAsia" w:cstheme="minorEastAsia"/>
                <w:sz w:val="21"/>
                <w:szCs w:val="21"/>
              </w:rPr>
              <w:t>和3300V</w:t>
            </w:r>
            <w:r>
              <w:rPr>
                <w:rFonts w:hint="eastAsia" w:asciiTheme="minorEastAsia" w:hAnsiTheme="minorEastAsia" w:eastAsiaTheme="minorEastAsia" w:cstheme="minorEastAsia"/>
                <w:kern w:val="0"/>
                <w:sz w:val="21"/>
                <w:szCs w:val="21"/>
              </w:rPr>
              <w:t>电动机控制设备有短路、过负荷、单相断线、漏电闭锁保护及远程控制功能</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6.变压器及电动机控制设备：</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color w:val="FF0000"/>
                <w:kern w:val="0"/>
                <w:sz w:val="21"/>
                <w:szCs w:val="21"/>
                <w:lang w:val="en-US" w:eastAsia="zh-CN"/>
              </w:rPr>
            </w:pPr>
            <w:r>
              <w:rPr>
                <w:rFonts w:hint="eastAsia" w:asciiTheme="minorEastAsia" w:hAnsiTheme="minorEastAsia" w:eastAsiaTheme="minorEastAsia" w:cstheme="minorEastAsia"/>
                <w:color w:val="FF0000"/>
                <w:kern w:val="0"/>
                <w:sz w:val="21"/>
                <w:szCs w:val="21"/>
                <w:lang w:val="en-US" w:eastAsia="zh-CN"/>
              </w:rPr>
              <w:t>⑴40KW及以上电动机使用真空电磁启动器控制；</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⑵干式变压器、移动变电站过负荷、短路等保护齐全可靠；</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⑶低压电动机控制设备有短路、过负荷、单相断线、漏电闭锁保护及远程控制功能</w:t>
            </w:r>
          </w:p>
        </w:tc>
        <w:tc>
          <w:tcPr>
            <w:tcW w:w="30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1．取消“真空电磁启动器控制”的要求，变化影响不大；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759" w:type="dxa"/>
            <w:vMerge w:val="continue"/>
            <w:tcBorders>
              <w:tl2br w:val="nil"/>
              <w:tr2bl w:val="nil"/>
            </w:tcBorders>
            <w:vAlign w:val="center"/>
          </w:tcPr>
          <w:p>
            <w:pPr>
              <w:widowControl/>
              <w:jc w:val="left"/>
              <w:rPr>
                <w:rFonts w:hint="eastAsia" w:asciiTheme="minorEastAsia" w:hAnsiTheme="minorEastAsia" w:eastAsiaTheme="minorEastAsia" w:cstheme="minorEastAsia"/>
                <w:bCs/>
                <w:sz w:val="21"/>
                <w:szCs w:val="21"/>
              </w:rPr>
            </w:pPr>
          </w:p>
        </w:tc>
        <w:tc>
          <w:tcPr>
            <w:tcW w:w="1154" w:type="dxa"/>
            <w:vMerge w:val="continue"/>
            <w:tcBorders>
              <w:tl2br w:val="nil"/>
              <w:tr2bl w:val="nil"/>
            </w:tcBorders>
            <w:vAlign w:val="center"/>
          </w:tcPr>
          <w:p>
            <w:pPr>
              <w:widowControl/>
              <w:jc w:val="left"/>
              <w:rPr>
                <w:rFonts w:hint="eastAsia" w:asciiTheme="minorEastAsia" w:hAnsiTheme="minorEastAsia" w:eastAsiaTheme="minorEastAsia" w:cstheme="minorEastAsia"/>
                <w:kern w:val="0"/>
                <w:sz w:val="21"/>
                <w:szCs w:val="21"/>
              </w:rPr>
            </w:pP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7.保护接地符合规定</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7.保护接地符合《煤矿安全规程》和</w:t>
            </w:r>
            <w:r>
              <w:rPr>
                <w:rFonts w:hint="eastAsia" w:asciiTheme="minorEastAsia" w:hAnsiTheme="minorEastAsia" w:eastAsiaTheme="minorEastAsia" w:cstheme="minorEastAsia"/>
                <w:color w:val="FF0000"/>
                <w:kern w:val="0"/>
                <w:sz w:val="21"/>
                <w:szCs w:val="21"/>
              </w:rPr>
              <w:t>《煤矿井下保护接地装置的安装、检查、测定工作细则》</w:t>
            </w:r>
            <w:r>
              <w:rPr>
                <w:rFonts w:hint="eastAsia" w:asciiTheme="minorEastAsia" w:hAnsiTheme="minorEastAsia" w:eastAsiaTheme="minorEastAsia" w:cstheme="minorEastAsia"/>
                <w:kern w:val="0"/>
                <w:sz w:val="21"/>
                <w:szCs w:val="21"/>
              </w:rPr>
              <w:t>的要求</w:t>
            </w:r>
          </w:p>
        </w:tc>
        <w:tc>
          <w:tcPr>
            <w:tcW w:w="30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1．取消“保护接地工作细则”的要求，变化影响不大；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1" w:hRule="atLeast"/>
          <w:jc w:val="center"/>
        </w:trPr>
        <w:tc>
          <w:tcPr>
            <w:tcW w:w="759" w:type="dxa"/>
            <w:vMerge w:val="continue"/>
            <w:tcBorders>
              <w:tl2br w:val="nil"/>
              <w:tr2bl w:val="nil"/>
            </w:tcBorders>
            <w:vAlign w:val="center"/>
          </w:tcPr>
          <w:p>
            <w:pPr>
              <w:widowControl/>
              <w:jc w:val="left"/>
              <w:rPr>
                <w:rFonts w:hint="eastAsia" w:asciiTheme="minorEastAsia" w:hAnsiTheme="minorEastAsia" w:eastAsiaTheme="minorEastAsia" w:cstheme="minorEastAsia"/>
                <w:bCs/>
                <w:sz w:val="21"/>
                <w:szCs w:val="21"/>
              </w:rPr>
            </w:pPr>
          </w:p>
        </w:tc>
        <w:tc>
          <w:tcPr>
            <w:tcW w:w="1154" w:type="dxa"/>
            <w:vMerge w:val="continue"/>
            <w:tcBorders>
              <w:tl2br w:val="nil"/>
              <w:tr2bl w:val="nil"/>
            </w:tcBorders>
            <w:vAlign w:val="center"/>
          </w:tcPr>
          <w:p>
            <w:pPr>
              <w:widowControl/>
              <w:jc w:val="left"/>
              <w:rPr>
                <w:rFonts w:hint="eastAsia" w:asciiTheme="minorEastAsia" w:hAnsiTheme="minorEastAsia" w:eastAsiaTheme="minorEastAsia" w:cstheme="minorEastAsia"/>
                <w:kern w:val="0"/>
                <w:sz w:val="21"/>
                <w:szCs w:val="21"/>
              </w:rPr>
            </w:pP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8.信号照明系统：井下照明和信号的配电装置综合保护功能齐全、可靠</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8.信号照明系统：</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井下照明和信号的配电装置综合保护功能齐全、可靠</w:t>
            </w:r>
          </w:p>
        </w:tc>
        <w:tc>
          <w:tcPr>
            <w:tcW w:w="3057"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53" w:hRule="atLeast"/>
          <w:jc w:val="center"/>
        </w:trPr>
        <w:tc>
          <w:tcPr>
            <w:tcW w:w="759" w:type="dxa"/>
            <w:vMerge w:val="continue"/>
            <w:tcBorders>
              <w:tl2br w:val="nil"/>
              <w:tr2bl w:val="nil"/>
            </w:tcBorders>
            <w:vAlign w:val="center"/>
          </w:tcPr>
          <w:p>
            <w:pPr>
              <w:widowControl/>
              <w:spacing w:beforeAutospacing="1" w:afterAutospacing="1"/>
              <w:jc w:val="left"/>
              <w:rPr>
                <w:rFonts w:hint="eastAsia" w:asciiTheme="minorEastAsia" w:hAnsiTheme="minorEastAsia" w:eastAsiaTheme="minorEastAsia" w:cstheme="minorEastAsia"/>
                <w:bCs/>
                <w:sz w:val="21"/>
                <w:szCs w:val="21"/>
              </w:rPr>
            </w:pPr>
          </w:p>
        </w:tc>
        <w:tc>
          <w:tcPr>
            <w:tcW w:w="1154" w:type="dxa"/>
            <w:vMerge w:val="continue"/>
            <w:tcBorders>
              <w:tl2br w:val="nil"/>
              <w:tr2bl w:val="nil"/>
            </w:tcBorders>
            <w:vAlign w:val="center"/>
          </w:tcPr>
          <w:p>
            <w:pPr>
              <w:widowControl/>
              <w:spacing w:beforeAutospacing="1" w:afterAutospacing="1"/>
              <w:jc w:val="left"/>
              <w:rPr>
                <w:rFonts w:hint="eastAsia" w:asciiTheme="minorEastAsia" w:hAnsiTheme="minorEastAsia" w:eastAsiaTheme="minorEastAsia" w:cstheme="minorEastAsia"/>
                <w:kern w:val="0"/>
                <w:sz w:val="21"/>
                <w:szCs w:val="21"/>
              </w:rPr>
            </w:pP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9.电缆：</w:t>
            </w:r>
          </w:p>
          <w:p>
            <w:pPr>
              <w:keepNext w:val="0"/>
              <w:keepLines w:val="0"/>
              <w:pageBreakBefore w:val="0"/>
              <w:widowControl/>
              <w:numPr>
                <w:ilvl w:val="255"/>
                <w:numId w:val="0"/>
              </w:numPr>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⑴井下动力、照明、信号以及控制、通信电缆使用煤矿用电缆；</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⑵电缆连接及引入符合规定；</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⑶电缆敷设（吊挂）符合规定 </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9. 电缆及接线工艺：</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⑴动力电缆和各种照明、信号、监控监测电缆使用煤矿矿用电缆；</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⑵电缆接头及接线方式和工艺符合要求，无“羊尾巴”“鸡爪子”、明接头；</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⑶各种电缆按规定敷设（吊挂），合格率不低于95%；</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⑷各种电气设备接线工艺符合要求</w:t>
            </w:r>
          </w:p>
        </w:tc>
        <w:tc>
          <w:tcPr>
            <w:tcW w:w="30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1．取消“电缆吊挂标准合格率”的要求，变化影响不大；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698" w:hRule="atLeast"/>
          <w:jc w:val="center"/>
        </w:trPr>
        <w:tc>
          <w:tcPr>
            <w:tcW w:w="759" w:type="dxa"/>
            <w:vMerge w:val="restart"/>
            <w:tcBorders>
              <w:tl2br w:val="nil"/>
              <w:tr2bl w:val="nil"/>
            </w:tcBorders>
            <w:textDirection w:val="tbRlV"/>
            <w:vAlign w:val="center"/>
          </w:tcPr>
          <w:p>
            <w:pPr>
              <w:widowControl/>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五、文明生产</w:t>
            </w:r>
          </w:p>
          <w:p>
            <w:pPr>
              <w:widowControl/>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（10分）</w:t>
            </w:r>
          </w:p>
        </w:tc>
        <w:tc>
          <w:tcPr>
            <w:tcW w:w="1154" w:type="dxa"/>
            <w:tcBorders>
              <w:tl2br w:val="nil"/>
              <w:tr2bl w:val="nil"/>
            </w:tcBorders>
            <w:vAlign w:val="center"/>
          </w:tcPr>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设备</w:t>
            </w:r>
          </w:p>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设置</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1.井下移动电气设备上架，小型电器设置规范、可靠；</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2.标志牌内容齐全；</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3.防爆电气设备和小型防爆电器有防爆入井检查合格证；</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4.各种设备（设施）表面清洁，无锈蚀</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1.井下移动电气设备上架，小型电器设置规范、可靠；</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2.标志牌内容齐全；</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3.防爆电气设备和小型防爆电器有防爆入井检查合格证；</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4.各种设备表面清洁，无锈蚀</w:t>
            </w:r>
          </w:p>
        </w:tc>
        <w:tc>
          <w:tcPr>
            <w:tcW w:w="30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111" w:hRule="atLeast"/>
          <w:jc w:val="center"/>
        </w:trPr>
        <w:tc>
          <w:tcPr>
            <w:tcW w:w="759" w:type="dxa"/>
            <w:vMerge w:val="continue"/>
            <w:tcBorders>
              <w:tl2br w:val="nil"/>
              <w:tr2bl w:val="nil"/>
            </w:tcBorders>
            <w:vAlign w:val="center"/>
          </w:tcPr>
          <w:p>
            <w:pPr>
              <w:widowControl/>
              <w:spacing w:beforeAutospacing="1" w:afterAutospacing="1"/>
              <w:jc w:val="left"/>
              <w:rPr>
                <w:rFonts w:hint="eastAsia" w:asciiTheme="minorEastAsia" w:hAnsiTheme="minorEastAsia" w:eastAsiaTheme="minorEastAsia" w:cstheme="minorEastAsia"/>
                <w:kern w:val="0"/>
                <w:sz w:val="21"/>
                <w:szCs w:val="21"/>
              </w:rPr>
            </w:pPr>
          </w:p>
        </w:tc>
        <w:tc>
          <w:tcPr>
            <w:tcW w:w="1154" w:type="dxa"/>
            <w:tcBorders>
              <w:tl2br w:val="nil"/>
              <w:tr2bl w:val="nil"/>
            </w:tcBorders>
            <w:vAlign w:val="center"/>
          </w:tcPr>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管网</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1.各种管路应每100m设置标识，标明管路规格、用途、长度、流向、管路编号等；</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2.管路敷设符合要求；</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3.无锈蚀，无跑、冒、滴、漏</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1.各种管路应每100m设置标识，标明管路规格、用途、长度、载体、流向、管路编号等；</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2.管路敷设（吊挂）符合要求，稳固；</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3.无锈蚀，无跑、冒、滴、漏</w:t>
            </w:r>
          </w:p>
        </w:tc>
        <w:tc>
          <w:tcPr>
            <w:tcW w:w="30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64" w:hRule="atLeast"/>
          <w:jc w:val="center"/>
        </w:trPr>
        <w:tc>
          <w:tcPr>
            <w:tcW w:w="759" w:type="dxa"/>
            <w:vMerge w:val="continue"/>
            <w:tcBorders>
              <w:tl2br w:val="nil"/>
              <w:tr2bl w:val="nil"/>
            </w:tcBorders>
            <w:vAlign w:val="center"/>
          </w:tcPr>
          <w:p>
            <w:pPr>
              <w:widowControl/>
              <w:spacing w:beforeAutospacing="1" w:afterAutospacing="1"/>
              <w:jc w:val="left"/>
              <w:rPr>
                <w:rFonts w:hint="eastAsia" w:asciiTheme="minorEastAsia" w:hAnsiTheme="minorEastAsia" w:eastAsiaTheme="minorEastAsia" w:cstheme="minorEastAsia"/>
                <w:kern w:val="0"/>
                <w:sz w:val="21"/>
                <w:szCs w:val="21"/>
              </w:rPr>
            </w:pPr>
          </w:p>
        </w:tc>
        <w:tc>
          <w:tcPr>
            <w:tcW w:w="1154" w:type="dxa"/>
            <w:tcBorders>
              <w:tl2br w:val="nil"/>
              <w:tr2bl w:val="nil"/>
            </w:tcBorders>
            <w:vAlign w:val="center"/>
          </w:tcPr>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机房</w:t>
            </w:r>
          </w:p>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卫生</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1.机房硐室、机道和电缆沟内外卫生清洁；</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2.无积水，无油垢，无杂物；</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3.电缆、管路排列整齐</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1.机房硐室、机道和电缆沟内外卫生清洁；</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2.无积水，无油垢，无杂物；</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3.电缆、管路排列整齐</w:t>
            </w:r>
          </w:p>
        </w:tc>
        <w:tc>
          <w:tcPr>
            <w:tcW w:w="30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759" w:type="dxa"/>
            <w:vMerge w:val="continue"/>
            <w:tcBorders>
              <w:tl2br w:val="nil"/>
              <w:tr2bl w:val="nil"/>
            </w:tcBorders>
            <w:vAlign w:val="center"/>
          </w:tcPr>
          <w:p>
            <w:pPr>
              <w:widowControl/>
              <w:spacing w:beforeAutospacing="1" w:afterAutospacing="1"/>
              <w:jc w:val="left"/>
              <w:rPr>
                <w:rFonts w:hint="eastAsia" w:asciiTheme="minorEastAsia" w:hAnsiTheme="minorEastAsia" w:eastAsiaTheme="minorEastAsia" w:cstheme="minorEastAsia"/>
                <w:kern w:val="0"/>
                <w:sz w:val="21"/>
                <w:szCs w:val="21"/>
              </w:rPr>
            </w:pPr>
          </w:p>
        </w:tc>
        <w:tc>
          <w:tcPr>
            <w:tcW w:w="1154" w:type="dxa"/>
            <w:tcBorders>
              <w:tl2br w:val="nil"/>
              <w:tr2bl w:val="nil"/>
            </w:tcBorders>
            <w:vAlign w:val="center"/>
          </w:tcPr>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机房、硐室以及巷道等照明符合《煤矿安全规程》要求</w:t>
            </w:r>
          </w:p>
        </w:tc>
        <w:tc>
          <w:tcPr>
            <w:tcW w:w="30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1．取消“照明”的要求，变化影响不大；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759" w:type="dxa"/>
            <w:vMerge w:val="continue"/>
            <w:tcBorders>
              <w:tl2br w:val="nil"/>
              <w:tr2bl w:val="nil"/>
            </w:tcBorders>
            <w:vAlign w:val="center"/>
          </w:tcPr>
          <w:p>
            <w:pPr>
              <w:widowControl/>
              <w:spacing w:beforeAutospacing="1" w:afterAutospacing="1"/>
              <w:jc w:val="left"/>
              <w:rPr>
                <w:rFonts w:hint="eastAsia" w:asciiTheme="minorEastAsia" w:hAnsiTheme="minorEastAsia" w:eastAsiaTheme="minorEastAsia" w:cstheme="minorEastAsia"/>
                <w:kern w:val="0"/>
                <w:sz w:val="21"/>
                <w:szCs w:val="21"/>
              </w:rPr>
            </w:pPr>
          </w:p>
        </w:tc>
        <w:tc>
          <w:tcPr>
            <w:tcW w:w="1154" w:type="dxa"/>
            <w:tcBorders>
              <w:tl2br w:val="nil"/>
              <w:tr2bl w:val="nil"/>
            </w:tcBorders>
            <w:vAlign w:val="center"/>
          </w:tcPr>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器材</w:t>
            </w:r>
          </w:p>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工具</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电工操作绝缘用具齐全合格</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消防器材、电工操作绝缘用具齐全合格</w:t>
            </w:r>
          </w:p>
        </w:tc>
        <w:tc>
          <w:tcPr>
            <w:tcW w:w="30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1．取消“消防器材”的要求，变化影响不大；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88" w:hRule="atLeast"/>
          <w:jc w:val="center"/>
        </w:trPr>
        <w:tc>
          <w:tcPr>
            <w:tcW w:w="759" w:type="dxa"/>
            <w:tcBorders>
              <w:tl2br w:val="nil"/>
              <w:tr2bl w:val="nil"/>
            </w:tcBorders>
            <w:textDirection w:val="tbRlV"/>
            <w:vAlign w:val="center"/>
          </w:tcPr>
          <w:p>
            <w:pPr>
              <w:widowControl/>
              <w:adjustRightInd w:val="0"/>
              <w:snapToGrid w:val="0"/>
              <w:spacing w:beforeAutospacing="0" w:afterAutospacing="0"/>
              <w:ind w:left="0" w:right="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附加项</w:t>
            </w:r>
          </w:p>
          <w:p>
            <w:pPr>
              <w:widowControl/>
              <w:adjustRightInd w:val="0"/>
              <w:snapToGrid w:val="0"/>
              <w:spacing w:beforeAutospacing="0" w:afterAutospacing="0"/>
              <w:ind w:left="0" w:right="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（1分）</w:t>
            </w:r>
          </w:p>
        </w:tc>
        <w:tc>
          <w:tcPr>
            <w:tcW w:w="1154" w:type="dxa"/>
            <w:tcBorders>
              <w:tl2br w:val="nil"/>
              <w:tr2bl w:val="nil"/>
            </w:tcBorders>
            <w:vAlign w:val="center"/>
          </w:tcPr>
          <w:p>
            <w:pPr>
              <w:widowControl/>
              <w:adjustRightInd w:val="0"/>
              <w:snapToGrid w:val="0"/>
              <w:spacing w:line="2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设备管理</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FF"/>
                <w:sz w:val="21"/>
                <w:szCs w:val="21"/>
              </w:rPr>
              <w:t>建设设备管理系统，有效实施设备全生命周期管理</w:t>
            </w:r>
          </w:p>
        </w:tc>
        <w:tc>
          <w:tcPr>
            <w:tcW w:w="446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eastAsia" w:asciiTheme="minorEastAsia" w:hAnsiTheme="minorEastAsia" w:eastAsiaTheme="minorEastAsia" w:cstheme="minorEastAsia"/>
                <w:kern w:val="0"/>
                <w:sz w:val="21"/>
                <w:szCs w:val="21"/>
              </w:rPr>
            </w:pPr>
          </w:p>
        </w:tc>
        <w:tc>
          <w:tcPr>
            <w:tcW w:w="30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5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1．增加“</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设备管理系统</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及</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设备全生命周期管理</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”的要求，变化影响不大；</w:t>
            </w:r>
          </w:p>
        </w:tc>
      </w:tr>
    </w:tbl>
    <w:p>
      <w:pPr>
        <w:rPr>
          <w:highlight w:val="none"/>
        </w:rPr>
      </w:pPr>
      <w:r>
        <w:rPr>
          <w:highlight w:val="none"/>
        </w:rPr>
        <w:br w:type="page"/>
      </w:r>
    </w:p>
    <w:p>
      <w:pPr>
        <w:widowControl/>
        <w:spacing w:line="560" w:lineRule="exact"/>
        <w:jc w:val="center"/>
        <w:outlineLvl w:val="1"/>
        <w:rPr>
          <w:rFonts w:hint="eastAsia" w:ascii="宋体" w:hAnsi="宋体" w:eastAsia="宋体" w:cs="宋体"/>
          <w:b/>
          <w:bCs/>
          <w:sz w:val="32"/>
          <w:szCs w:val="32"/>
        </w:rPr>
      </w:pPr>
      <w:r>
        <w:rPr>
          <w:rFonts w:hint="eastAsia" w:ascii="宋体" w:hAnsi="宋体" w:eastAsia="宋体" w:cs="宋体"/>
          <w:b/>
          <w:bCs/>
          <w:sz w:val="32"/>
          <w:szCs w:val="32"/>
          <w:lang w:val="en-US" w:eastAsia="zh-CN"/>
        </w:rPr>
        <w:t>8、</w:t>
      </w:r>
      <w:r>
        <w:rPr>
          <w:rFonts w:hint="eastAsia" w:ascii="宋体" w:hAnsi="宋体" w:eastAsia="宋体" w:cs="宋体"/>
          <w:b/>
          <w:bCs/>
          <w:sz w:val="32"/>
          <w:szCs w:val="32"/>
        </w:rPr>
        <w:t>煤矿运输标准化评分表</w:t>
      </w:r>
    </w:p>
    <w:tbl>
      <w:tblPr>
        <w:tblStyle w:val="8"/>
        <w:tblW w:w="13916"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28"/>
        <w:gridCol w:w="4442"/>
        <w:gridCol w:w="5144"/>
        <w:gridCol w:w="20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blHeader/>
          <w:jc w:val="center"/>
        </w:trPr>
        <w:tc>
          <w:tcPr>
            <w:tcW w:w="1127" w:type="dxa"/>
            <w:tcBorders>
              <w:tl2br w:val="nil"/>
              <w:tr2bl w:val="nil"/>
            </w:tcBorders>
            <w:vAlign w:val="center"/>
          </w:tcPr>
          <w:p>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项目</w:t>
            </w:r>
          </w:p>
        </w:tc>
        <w:tc>
          <w:tcPr>
            <w:tcW w:w="1128" w:type="dxa"/>
            <w:tcBorders>
              <w:tl2br w:val="nil"/>
              <w:tr2bl w:val="nil"/>
            </w:tcBorders>
            <w:vAlign w:val="center"/>
          </w:tcPr>
          <w:p>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项目内容</w:t>
            </w:r>
          </w:p>
        </w:tc>
        <w:tc>
          <w:tcPr>
            <w:tcW w:w="4442" w:type="dxa"/>
            <w:tcBorders>
              <w:tl2br w:val="nil"/>
              <w:tr2bl w:val="nil"/>
            </w:tcBorders>
            <w:vAlign w:val="center"/>
          </w:tcPr>
          <w:p>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rPr>
              <w:t>2024版</w:t>
            </w:r>
            <w:r>
              <w:rPr>
                <w:rFonts w:hint="eastAsia" w:ascii="宋体" w:hAnsi="宋体" w:eastAsia="宋体" w:cs="宋体"/>
                <w:kern w:val="0"/>
                <w:sz w:val="21"/>
                <w:szCs w:val="21"/>
              </w:rPr>
              <w:t>基本要求</w:t>
            </w:r>
          </w:p>
        </w:tc>
        <w:tc>
          <w:tcPr>
            <w:tcW w:w="5144" w:type="dxa"/>
            <w:tcBorders>
              <w:tl2br w:val="nil"/>
              <w:tr2bl w:val="nil"/>
            </w:tcBorders>
            <w:vAlign w:val="center"/>
          </w:tcPr>
          <w:p>
            <w:pPr>
              <w:widowControl/>
              <w:jc w:val="center"/>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2020版</w:t>
            </w:r>
            <w:r>
              <w:rPr>
                <w:rFonts w:hint="eastAsia" w:ascii="宋体" w:hAnsi="宋体" w:eastAsia="宋体" w:cs="宋体"/>
                <w:kern w:val="0"/>
                <w:sz w:val="21"/>
                <w:szCs w:val="21"/>
              </w:rPr>
              <w:t>基本要求</w:t>
            </w:r>
          </w:p>
        </w:tc>
        <w:tc>
          <w:tcPr>
            <w:tcW w:w="2075" w:type="dxa"/>
            <w:tcBorders>
              <w:tl2br w:val="nil"/>
              <w:tr2bl w:val="nil"/>
            </w:tcBorders>
            <w:vAlign w:val="center"/>
          </w:tcPr>
          <w:p>
            <w:pPr>
              <w:widowControl/>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948" w:hRule="atLeast"/>
          <w:jc w:val="center"/>
        </w:trPr>
        <w:tc>
          <w:tcPr>
            <w:tcW w:w="1127" w:type="dxa"/>
            <w:vMerge w:val="restart"/>
            <w:tcBorders>
              <w:tl2br w:val="nil"/>
              <w:tr2bl w:val="nil"/>
            </w:tcBorders>
            <w:textDirection w:val="tbRlV"/>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一、运输管理（17分）</w:t>
            </w:r>
          </w:p>
        </w:tc>
        <w:tc>
          <w:tcPr>
            <w:tcW w:w="1128" w:type="dxa"/>
            <w:tcBorders>
              <w:tl2br w:val="nil"/>
              <w:tr2bl w:val="nil"/>
            </w:tcBorders>
            <w:vAlign w:val="center"/>
          </w:tcPr>
          <w:p>
            <w:pPr>
              <w:widowControl/>
              <w:adjustRightInd w:val="0"/>
              <w:snapToGrid w:val="0"/>
              <w:spacing w:line="2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制度保障</w:t>
            </w:r>
          </w:p>
        </w:tc>
        <w:tc>
          <w:tcPr>
            <w:tcW w:w="4442" w:type="dxa"/>
            <w:tcBorders>
              <w:tl2br w:val="nil"/>
              <w:tr2bl w:val="nil"/>
            </w:tcBorders>
            <w:vAlign w:val="center"/>
          </w:tcPr>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制定并落实以下制度、标准：</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1.运输设备</w:t>
            </w:r>
            <w:r>
              <w:rPr>
                <w:rFonts w:hint="eastAsia" w:ascii="宋体" w:hAnsi="宋体" w:eastAsia="宋体" w:cs="宋体"/>
                <w:sz w:val="21"/>
                <w:szCs w:val="21"/>
              </w:rPr>
              <w:t>（设施）安装、运行、检修</w:t>
            </w:r>
            <w:r>
              <w:rPr>
                <w:rFonts w:hint="eastAsia" w:ascii="宋体" w:hAnsi="宋体" w:eastAsia="宋体" w:cs="宋体"/>
                <w:kern w:val="0"/>
                <w:sz w:val="21"/>
                <w:szCs w:val="21"/>
              </w:rPr>
              <w:t>、检测等管理制度；</w:t>
            </w:r>
          </w:p>
          <w:p>
            <w:pPr>
              <w:widowControl/>
              <w:adjustRightInd w:val="0"/>
              <w:snapToGrid w:val="0"/>
              <w:spacing w:line="280" w:lineRule="exact"/>
              <w:rPr>
                <w:rFonts w:hint="eastAsia" w:ascii="宋体" w:hAnsi="宋体" w:eastAsia="宋体" w:cs="宋体"/>
                <w:b/>
                <w:bCs/>
                <w:sz w:val="21"/>
                <w:szCs w:val="21"/>
              </w:rPr>
            </w:pPr>
            <w:r>
              <w:rPr>
                <w:rFonts w:hint="eastAsia" w:ascii="宋体" w:hAnsi="宋体" w:eastAsia="宋体" w:cs="宋体"/>
                <w:color w:val="0000FF"/>
                <w:sz w:val="21"/>
                <w:szCs w:val="21"/>
                <w:lang w:val="en-US" w:eastAsia="zh-CN"/>
              </w:rPr>
              <w:t>2.运输线路铺设、维护标准</w:t>
            </w:r>
          </w:p>
        </w:tc>
        <w:tc>
          <w:tcPr>
            <w:tcW w:w="5144" w:type="dxa"/>
            <w:tcBorders>
              <w:tl2br w:val="nil"/>
              <w:tr2bl w:val="nil"/>
            </w:tcBorders>
            <w:shd w:val="clear" w:color="auto" w:fill="auto"/>
            <w:vAlign w:val="center"/>
          </w:tcPr>
          <w:p>
            <w:pPr>
              <w:adjustRightInd w:val="0"/>
              <w:snapToGrid w:val="0"/>
              <w:jc w:val="left"/>
              <w:rPr>
                <w:rFonts w:hint="eastAsia" w:ascii="宋体" w:hAnsi="宋体" w:eastAsia="宋体" w:cs="宋体"/>
                <w:sz w:val="21"/>
                <w:szCs w:val="21"/>
              </w:rPr>
            </w:pPr>
            <w:r>
              <w:rPr>
                <w:rFonts w:hint="eastAsia" w:ascii="宋体" w:hAnsi="宋体" w:eastAsia="宋体" w:cs="宋体"/>
                <w:kern w:val="0"/>
                <w:sz w:val="21"/>
                <w:szCs w:val="21"/>
              </w:rPr>
              <w:t>1.完善各岗位各工种的操作规程，内容符合现场实际，并认真执行；</w:t>
            </w:r>
          </w:p>
          <w:p>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2.制定以下规定：</w:t>
            </w:r>
          </w:p>
          <w:p>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（1）运输设备运行、检修、检测等管理规定；</w:t>
            </w:r>
          </w:p>
          <w:p>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（2）运输安全设施检查、试验等管理规定；</w:t>
            </w:r>
          </w:p>
          <w:p>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（3）轨道线路检查、维修等管理规定；</w:t>
            </w:r>
          </w:p>
          <w:p>
            <w:pPr>
              <w:widowControl/>
              <w:adjustRightInd w:val="0"/>
              <w:snapToGrid w:val="0"/>
              <w:spacing w:line="280" w:lineRule="exact"/>
              <w:jc w:val="left"/>
              <w:rPr>
                <w:rFonts w:hint="eastAsia" w:ascii="宋体" w:hAnsi="宋体" w:eastAsia="宋体" w:cs="宋体"/>
                <w:kern w:val="0"/>
                <w:sz w:val="21"/>
                <w:szCs w:val="21"/>
                <w:lang w:val="en-US" w:eastAsia="zh-CN" w:bidi="ar-SA"/>
              </w:rPr>
            </w:pPr>
            <w:r>
              <w:rPr>
                <w:rFonts w:hint="eastAsia" w:ascii="宋体" w:hAnsi="宋体" w:eastAsia="宋体" w:cs="宋体"/>
                <w:color w:val="FF0000"/>
                <w:kern w:val="0"/>
                <w:sz w:val="21"/>
                <w:szCs w:val="21"/>
                <w:lang w:val="en-US" w:eastAsia="zh-CN"/>
              </w:rPr>
              <w:t xml:space="preserve">（4）辅助运输安全事故汇报管理规定 </w:t>
            </w:r>
          </w:p>
        </w:tc>
        <w:tc>
          <w:tcPr>
            <w:tcW w:w="2075" w:type="dxa"/>
            <w:tcBorders>
              <w:tl2br w:val="nil"/>
              <w:tr2bl w:val="nil"/>
            </w:tcBorders>
            <w:shd w:val="clear" w:color="auto" w:fill="auto"/>
            <w:vAlign w:val="center"/>
          </w:tcPr>
          <w:p>
            <w:pPr>
              <w:widowControl/>
              <w:adjustRightInd w:val="0"/>
              <w:snapToGrid w:val="0"/>
              <w:spacing w:line="280" w:lineRule="exact"/>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1.删除了辅助运输安</w:t>
            </w:r>
            <w:r>
              <w:rPr>
                <w:rFonts w:hint="eastAsia" w:ascii="宋体" w:hAnsi="宋体" w:eastAsia="宋体" w:cs="宋体"/>
                <w:color w:val="auto"/>
                <w:sz w:val="21"/>
                <w:szCs w:val="21"/>
                <w:lang w:val="en-US" w:eastAsia="zh-CN"/>
              </w:rPr>
              <w:t>全事故汇报管理规定</w:t>
            </w:r>
          </w:p>
          <w:p>
            <w:pPr>
              <w:widowControl/>
              <w:adjustRightInd w:val="0"/>
              <w:snapToGrid w:val="0"/>
              <w:spacing w:line="280" w:lineRule="exact"/>
              <w:rPr>
                <w:rFonts w:hint="eastAsia" w:ascii="宋体" w:hAnsi="宋体" w:eastAsia="宋体" w:cs="宋体"/>
                <w:strike/>
                <w:dstrike w:val="0"/>
                <w:color w:val="auto"/>
                <w:kern w:val="0"/>
                <w:sz w:val="21"/>
                <w:szCs w:val="21"/>
                <w:lang w:val="en-US" w:eastAsia="zh-CN" w:bidi="ar-SA"/>
              </w:rPr>
            </w:pPr>
            <w:r>
              <w:rPr>
                <w:rFonts w:hint="eastAsia" w:ascii="宋体" w:hAnsi="宋体" w:eastAsia="宋体" w:cs="宋体"/>
                <w:color w:val="auto"/>
                <w:sz w:val="21"/>
                <w:szCs w:val="21"/>
                <w:lang w:val="en-US" w:eastAsia="zh-CN"/>
              </w:rPr>
              <w:t>2.增加了运输线路铺设、维护标准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77" w:hRule="atLeast"/>
          <w:jc w:val="center"/>
        </w:trPr>
        <w:tc>
          <w:tcPr>
            <w:tcW w:w="1127" w:type="dxa"/>
            <w:vMerge w:val="continue"/>
            <w:tcBorders>
              <w:tl2br w:val="nil"/>
              <w:tr2bl w:val="nil"/>
            </w:tcBorders>
            <w:vAlign w:val="center"/>
          </w:tcPr>
          <w:p>
            <w:pPr>
              <w:widowControl/>
              <w:jc w:val="left"/>
              <w:rPr>
                <w:rFonts w:hint="eastAsia" w:ascii="宋体" w:hAnsi="宋体" w:eastAsia="宋体" w:cs="宋体"/>
                <w:kern w:val="0"/>
                <w:sz w:val="21"/>
                <w:szCs w:val="21"/>
              </w:rPr>
            </w:pPr>
          </w:p>
        </w:tc>
        <w:tc>
          <w:tcPr>
            <w:tcW w:w="1128" w:type="dxa"/>
            <w:tcBorders>
              <w:tl2br w:val="nil"/>
              <w:tr2bl w:val="nil"/>
            </w:tcBorders>
            <w:vAlign w:val="center"/>
          </w:tcPr>
          <w:p>
            <w:pPr>
              <w:widowControl/>
              <w:adjustRightInd w:val="0"/>
              <w:snapToGrid w:val="0"/>
              <w:spacing w:line="2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技术资料</w:t>
            </w:r>
          </w:p>
        </w:tc>
        <w:tc>
          <w:tcPr>
            <w:tcW w:w="4442" w:type="dxa"/>
            <w:tcBorders>
              <w:tl2br w:val="nil"/>
              <w:tr2bl w:val="nil"/>
            </w:tcBorders>
            <w:vAlign w:val="center"/>
          </w:tcPr>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1.有运输设备、设施、线路的图纸、技术档案，有检修记录；</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2.有作业规程、安全技术措施；</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3.运输系统、设备选型和能力计算资料齐全；</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4.</w:t>
            </w:r>
            <w:r>
              <w:rPr>
                <w:rFonts w:hint="eastAsia" w:ascii="宋体" w:hAnsi="宋体" w:eastAsia="宋体" w:cs="宋体"/>
                <w:color w:val="0000FF"/>
                <w:sz w:val="21"/>
                <w:szCs w:val="21"/>
                <w:lang w:val="en-US" w:eastAsia="zh-CN"/>
              </w:rPr>
              <w:t>单轨吊、</w:t>
            </w:r>
            <w:r>
              <w:rPr>
                <w:rFonts w:hint="eastAsia" w:ascii="宋体" w:hAnsi="宋体" w:eastAsia="宋体" w:cs="宋体"/>
                <w:kern w:val="0"/>
                <w:sz w:val="21"/>
                <w:szCs w:val="21"/>
              </w:rPr>
              <w:t>架空乘人装置有设计；</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5.</w:t>
            </w:r>
            <w:r>
              <w:rPr>
                <w:rFonts w:hint="eastAsia" w:ascii="宋体" w:hAnsi="宋体" w:eastAsia="宋体" w:cs="宋体"/>
                <w:bCs/>
                <w:sz w:val="21"/>
                <w:szCs w:val="21"/>
              </w:rPr>
              <w:t>有</w:t>
            </w:r>
            <w:r>
              <w:rPr>
                <w:rFonts w:hint="eastAsia" w:ascii="宋体" w:hAnsi="宋体" w:eastAsia="宋体" w:cs="宋体"/>
                <w:kern w:val="0"/>
                <w:sz w:val="21"/>
                <w:szCs w:val="21"/>
              </w:rPr>
              <w:t>运输设备</w:t>
            </w:r>
            <w:r>
              <w:rPr>
                <w:rFonts w:hint="eastAsia" w:ascii="宋体" w:hAnsi="宋体" w:eastAsia="宋体" w:cs="宋体"/>
                <w:bCs/>
                <w:sz w:val="21"/>
                <w:szCs w:val="21"/>
              </w:rPr>
              <w:t>管理台账，</w:t>
            </w:r>
            <w:r>
              <w:rPr>
                <w:rFonts w:hint="eastAsia" w:ascii="宋体" w:hAnsi="宋体" w:eastAsia="宋体" w:cs="宋体"/>
                <w:kern w:val="0"/>
                <w:sz w:val="21"/>
                <w:szCs w:val="21"/>
              </w:rPr>
              <w:t>编号管理；</w:t>
            </w:r>
          </w:p>
          <w:p>
            <w:pPr>
              <w:adjustRightInd w:val="0"/>
              <w:snapToGrid w:val="0"/>
              <w:spacing w:line="280" w:lineRule="exact"/>
              <w:rPr>
                <w:rFonts w:hint="eastAsia" w:ascii="宋体" w:hAnsi="宋体" w:eastAsia="宋体" w:cs="宋体"/>
                <w:sz w:val="21"/>
                <w:szCs w:val="21"/>
                <w:lang w:val="en-US" w:eastAsia="zh-CN" w:bidi="ar-SA"/>
              </w:rPr>
            </w:pPr>
            <w:r>
              <w:rPr>
                <w:rFonts w:hint="eastAsia" w:ascii="宋体" w:hAnsi="宋体" w:eastAsia="宋体" w:cs="宋体"/>
                <w:color w:val="0000FF"/>
                <w:sz w:val="21"/>
                <w:szCs w:val="21"/>
                <w:lang w:val="en-US" w:eastAsia="zh-CN"/>
              </w:rPr>
              <w:t>6.纳入煤矿矿用产品安全标志管理的设备设施符合规定</w:t>
            </w:r>
          </w:p>
        </w:tc>
        <w:tc>
          <w:tcPr>
            <w:tcW w:w="5144" w:type="dxa"/>
            <w:tcBorders>
              <w:tl2br w:val="nil"/>
              <w:tr2bl w:val="nil"/>
            </w:tcBorders>
            <w:shd w:val="clear" w:color="auto" w:fill="auto"/>
            <w:vAlign w:val="center"/>
          </w:tcPr>
          <w:p>
            <w:pPr>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1.有运输设备、设施、线路的图纸、技术档案，有检修记录；</w:t>
            </w:r>
          </w:p>
          <w:p>
            <w:pPr>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2.施工作业规程、技术措施符合有关规定；</w:t>
            </w:r>
          </w:p>
          <w:p>
            <w:pPr>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3.运输系统、设备选型和能力计算资料齐全；</w:t>
            </w:r>
          </w:p>
          <w:p>
            <w:pPr>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4.架空乘人装置有专项设计；</w:t>
            </w:r>
          </w:p>
          <w:p>
            <w:pPr>
              <w:widowControl/>
              <w:adjustRightInd w:val="0"/>
              <w:snapToGrid w:val="0"/>
              <w:spacing w:line="28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w:t>
            </w:r>
            <w:r>
              <w:rPr>
                <w:rFonts w:hint="eastAsia" w:ascii="宋体" w:hAnsi="宋体" w:eastAsia="宋体" w:cs="宋体"/>
                <w:sz w:val="21"/>
                <w:szCs w:val="21"/>
              </w:rPr>
              <w:t>人行车、架空乘人装置、机车、调度绞车、无极绳连续牵引车、卡轨车、绳牵引单轨吊车、单轨吊车、齿轨车、无轨胶轮车、矿车、专用车等运输设备编号管理</w:t>
            </w:r>
          </w:p>
        </w:tc>
        <w:tc>
          <w:tcPr>
            <w:tcW w:w="2075" w:type="dxa"/>
            <w:tcBorders>
              <w:tl2br w:val="nil"/>
              <w:tr2bl w:val="nil"/>
            </w:tcBorders>
            <w:shd w:val="clear" w:color="auto" w:fill="auto"/>
            <w:vAlign w:val="center"/>
          </w:tcPr>
          <w:p>
            <w:pPr>
              <w:widowControl/>
              <w:adjustRightInd w:val="0"/>
              <w:snapToGrid w:val="0"/>
              <w:spacing w:line="28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增加：</w:t>
            </w:r>
          </w:p>
          <w:p>
            <w:pPr>
              <w:widowControl/>
              <w:adjustRightInd w:val="0"/>
              <w:snapToGrid w:val="0"/>
              <w:spacing w:line="28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1.单轨吊有设计。</w:t>
            </w:r>
          </w:p>
          <w:p>
            <w:pPr>
              <w:widowControl/>
              <w:adjustRightInd w:val="0"/>
              <w:snapToGrid w:val="0"/>
              <w:spacing w:line="28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2.纳入煤矿矿用产品安全标志管理的设备设施符合规定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63" w:hRule="atLeast"/>
          <w:jc w:val="center"/>
        </w:trPr>
        <w:tc>
          <w:tcPr>
            <w:tcW w:w="1127" w:type="dxa"/>
            <w:vMerge w:val="continue"/>
            <w:tcBorders>
              <w:tl2br w:val="nil"/>
              <w:tr2bl w:val="nil"/>
            </w:tcBorders>
            <w:vAlign w:val="center"/>
          </w:tcPr>
          <w:p>
            <w:pPr>
              <w:widowControl/>
              <w:jc w:val="left"/>
              <w:rPr>
                <w:rFonts w:hint="eastAsia" w:ascii="宋体" w:hAnsi="宋体" w:eastAsia="宋体" w:cs="宋体"/>
                <w:kern w:val="0"/>
                <w:sz w:val="21"/>
                <w:szCs w:val="21"/>
              </w:rPr>
            </w:pPr>
          </w:p>
        </w:tc>
        <w:tc>
          <w:tcPr>
            <w:tcW w:w="1128" w:type="dxa"/>
            <w:tcBorders>
              <w:tl2br w:val="nil"/>
              <w:tr2bl w:val="nil"/>
            </w:tcBorders>
            <w:vAlign w:val="center"/>
          </w:tcPr>
          <w:p>
            <w:pPr>
              <w:widowControl/>
              <w:adjustRightInd w:val="0"/>
              <w:snapToGrid w:val="0"/>
              <w:spacing w:line="2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检测</w:t>
            </w:r>
          </w:p>
          <w:p>
            <w:pPr>
              <w:widowControl/>
              <w:adjustRightInd w:val="0"/>
              <w:snapToGrid w:val="0"/>
              <w:spacing w:line="2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检验</w:t>
            </w:r>
          </w:p>
        </w:tc>
        <w:tc>
          <w:tcPr>
            <w:tcW w:w="4442" w:type="dxa"/>
            <w:tcBorders>
              <w:tl2br w:val="nil"/>
              <w:tr2bl w:val="nil"/>
            </w:tcBorders>
            <w:vAlign w:val="center"/>
          </w:tcPr>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1.使用中的斜井人车，有完整的重载全速脱钩测试报告及连接装置的探伤报告；</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2.按规定对窄轨车辆连接链、连接插销进行检测，有检测检验报告；</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3.按规定对架空乘人装置、无轨胶轮车、单轨吊车进行试验、检测检验，有完整的试验、检测检验报告；</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4.新投用机车应测定制动距离，之后每年测定1次，有完整的制动距离测试报告；</w:t>
            </w:r>
          </w:p>
          <w:p>
            <w:pPr>
              <w:widowControl/>
              <w:adjustRightInd w:val="0"/>
              <w:snapToGrid w:val="0"/>
              <w:spacing w:line="280" w:lineRule="exact"/>
              <w:rPr>
                <w:rFonts w:hint="eastAsia" w:ascii="宋体" w:hAnsi="宋体" w:eastAsia="宋体" w:cs="宋体"/>
                <w:b/>
                <w:bCs/>
                <w:sz w:val="21"/>
                <w:szCs w:val="21"/>
              </w:rPr>
            </w:pPr>
            <w:r>
              <w:rPr>
                <w:rFonts w:hint="eastAsia" w:ascii="宋体" w:hAnsi="宋体" w:eastAsia="宋体" w:cs="宋体"/>
                <w:kern w:val="0"/>
                <w:sz w:val="21"/>
                <w:szCs w:val="21"/>
              </w:rPr>
              <w:t>5.无极绳连续牵引车、卡轨车、齿轨车、异型轨卡轨车等根据产品使用说明书要求，由矿定期检查、检修、试验，并有试验记录</w:t>
            </w:r>
          </w:p>
        </w:tc>
        <w:tc>
          <w:tcPr>
            <w:tcW w:w="5144" w:type="dxa"/>
            <w:tcBorders>
              <w:tl2br w:val="nil"/>
              <w:tr2bl w:val="nil"/>
            </w:tcBorders>
            <w:shd w:val="clear" w:color="auto" w:fill="auto"/>
            <w:vAlign w:val="center"/>
          </w:tcPr>
          <w:p>
            <w:pPr>
              <w:widowControl/>
              <w:adjustRightInd w:val="0"/>
              <w:snapToGrid w:val="0"/>
              <w:spacing w:line="280" w:lineRule="exact"/>
              <w:jc w:val="left"/>
              <w:rPr>
                <w:rFonts w:hint="eastAsia" w:ascii="宋体" w:hAnsi="宋体" w:eastAsia="宋体" w:cs="宋体"/>
                <w:strike w:val="0"/>
                <w:dstrike w:val="0"/>
                <w:sz w:val="21"/>
                <w:szCs w:val="21"/>
              </w:rPr>
            </w:pPr>
            <w:r>
              <w:rPr>
                <w:rFonts w:hint="eastAsia" w:ascii="宋体" w:hAnsi="宋体" w:eastAsia="宋体" w:cs="宋体"/>
                <w:strike w:val="0"/>
                <w:dstrike w:val="0"/>
                <w:sz w:val="21"/>
                <w:szCs w:val="21"/>
              </w:rPr>
              <w:t>1.</w:t>
            </w:r>
            <w:r>
              <w:rPr>
                <w:rFonts w:hint="eastAsia" w:ascii="宋体" w:hAnsi="宋体" w:eastAsia="宋体" w:cs="宋体"/>
                <w:color w:val="FF0000"/>
                <w:sz w:val="21"/>
                <w:szCs w:val="21"/>
                <w:lang w:val="en-US" w:eastAsia="zh-CN"/>
              </w:rPr>
              <w:t>更新或大修</w:t>
            </w:r>
            <w:r>
              <w:rPr>
                <w:rFonts w:hint="eastAsia" w:ascii="宋体" w:hAnsi="宋体" w:eastAsia="宋体" w:cs="宋体"/>
                <w:strike w:val="0"/>
                <w:dstrike w:val="0"/>
                <w:sz w:val="21"/>
                <w:szCs w:val="21"/>
              </w:rPr>
              <w:t>及使用中的斜巷（井）人车，有完整的重载全速脱钩测试报告及连接装置的探伤报告</w:t>
            </w:r>
          </w:p>
          <w:p>
            <w:pPr>
              <w:adjustRightInd w:val="0"/>
              <w:snapToGrid w:val="0"/>
              <w:jc w:val="left"/>
              <w:rPr>
                <w:rFonts w:hint="eastAsia" w:ascii="宋体" w:hAnsi="宋体" w:eastAsia="宋体" w:cs="宋体"/>
                <w:strike w:val="0"/>
                <w:dstrike w:val="0"/>
                <w:kern w:val="0"/>
                <w:sz w:val="21"/>
                <w:szCs w:val="21"/>
              </w:rPr>
            </w:pPr>
            <w:r>
              <w:rPr>
                <w:rFonts w:hint="eastAsia" w:ascii="宋体" w:hAnsi="宋体" w:eastAsia="宋体" w:cs="宋体"/>
                <w:strike w:val="0"/>
                <w:dstrike w:val="0"/>
                <w:kern w:val="0"/>
                <w:sz w:val="21"/>
                <w:szCs w:val="21"/>
              </w:rPr>
              <w:t>2.按规定对架空乘人装置、窄轨车辆连接链、窄轨车辆连接插销、斜井人车进行检测检验，有完整的试验、检测检验报告；</w:t>
            </w:r>
          </w:p>
          <w:p>
            <w:pPr>
              <w:adjustRightInd w:val="0"/>
              <w:snapToGrid w:val="0"/>
              <w:jc w:val="left"/>
              <w:rPr>
                <w:rFonts w:hint="eastAsia" w:ascii="宋体" w:hAnsi="宋体" w:eastAsia="宋体" w:cs="宋体"/>
                <w:strike w:val="0"/>
                <w:dstrike w:val="0"/>
                <w:kern w:val="0"/>
                <w:sz w:val="21"/>
                <w:szCs w:val="21"/>
              </w:rPr>
            </w:pPr>
            <w:r>
              <w:rPr>
                <w:rFonts w:hint="eastAsia" w:ascii="宋体" w:hAnsi="宋体" w:eastAsia="宋体" w:cs="宋体"/>
                <w:strike w:val="0"/>
                <w:dstrike w:val="0"/>
                <w:kern w:val="0"/>
                <w:sz w:val="21"/>
                <w:szCs w:val="21"/>
              </w:rPr>
              <w:t xml:space="preserve">3.按规定对无轨胶轮车、单轨吊车进行试验、检测检验，有完整的试验、检测检验报告； </w:t>
            </w:r>
          </w:p>
          <w:p>
            <w:pPr>
              <w:adjustRightInd w:val="0"/>
              <w:snapToGrid w:val="0"/>
              <w:jc w:val="left"/>
              <w:rPr>
                <w:rFonts w:hint="eastAsia" w:ascii="宋体" w:hAnsi="宋体" w:eastAsia="宋体" w:cs="宋体"/>
                <w:strike w:val="0"/>
                <w:dstrike w:val="0"/>
                <w:kern w:val="0"/>
                <w:sz w:val="21"/>
                <w:szCs w:val="21"/>
              </w:rPr>
            </w:pPr>
            <w:r>
              <w:rPr>
                <w:rFonts w:hint="eastAsia" w:ascii="宋体" w:hAnsi="宋体" w:eastAsia="宋体" w:cs="宋体"/>
                <w:strike w:val="0"/>
                <w:dstrike w:val="0"/>
                <w:kern w:val="0"/>
                <w:sz w:val="21"/>
                <w:szCs w:val="21"/>
              </w:rPr>
              <w:t>4.新投用机车应测定制动距离，之后每年测定1次，有完整的制动距离测试报告；</w:t>
            </w:r>
          </w:p>
          <w:p>
            <w:pPr>
              <w:adjustRightInd w:val="0"/>
              <w:snapToGrid w:val="0"/>
              <w:jc w:val="left"/>
              <w:rPr>
                <w:rFonts w:hint="eastAsia" w:ascii="宋体" w:hAnsi="宋体" w:eastAsia="宋体" w:cs="宋体"/>
                <w:strike w:val="0"/>
                <w:dstrike w:val="0"/>
                <w:kern w:val="2"/>
                <w:sz w:val="21"/>
                <w:szCs w:val="21"/>
                <w:lang w:val="en-US" w:eastAsia="zh-CN" w:bidi="ar-SA"/>
              </w:rPr>
            </w:pPr>
            <w:r>
              <w:rPr>
                <w:rFonts w:hint="eastAsia" w:ascii="宋体" w:hAnsi="宋体" w:eastAsia="宋体" w:cs="宋体"/>
                <w:strike w:val="0"/>
                <w:dstrike w:val="0"/>
                <w:kern w:val="0"/>
                <w:sz w:val="21"/>
                <w:szCs w:val="21"/>
              </w:rPr>
              <w:t>5.无极绳连续运输车、卡轨车、齿轨车、异型轨卡轨车、防跑车装置等根据产品使用说明书要求，由矿定期对相关安全性能进行试验，并有试验记录</w:t>
            </w:r>
          </w:p>
        </w:tc>
        <w:tc>
          <w:tcPr>
            <w:tcW w:w="2075" w:type="dxa"/>
            <w:tcBorders>
              <w:tl2br w:val="nil"/>
              <w:tr2bl w:val="nil"/>
            </w:tcBorders>
            <w:vAlign w:val="center"/>
          </w:tcPr>
          <w:p>
            <w:pPr>
              <w:widowControl/>
              <w:adjustRightInd w:val="0"/>
              <w:snapToGrid w:val="0"/>
              <w:spacing w:line="28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删除了“更新或大修及使用中的斜巷（井）人车，有完整的重载全速脱钩测试报告及连接装置的探伤报告</w:t>
            </w:r>
          </w:p>
          <w:p>
            <w:pPr>
              <w:widowControl/>
              <w:adjustRightInd w:val="0"/>
              <w:snapToGrid w:val="0"/>
              <w:spacing w:line="28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”中的“更新或大修”</w:t>
            </w:r>
          </w:p>
          <w:p>
            <w:pPr>
              <w:widowControl/>
              <w:adjustRightInd w:val="0"/>
              <w:snapToGrid w:val="0"/>
              <w:spacing w:line="280" w:lineRule="exact"/>
              <w:rPr>
                <w:rFonts w:hint="eastAsia" w:ascii="宋体" w:hAnsi="宋体" w:eastAsia="宋体" w:cs="宋体"/>
                <w:strike w:val="0"/>
                <w:dstrike w:val="0"/>
                <w:color w:val="auto"/>
                <w:kern w:val="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13" w:hRule="atLeast"/>
          <w:jc w:val="center"/>
        </w:trPr>
        <w:tc>
          <w:tcPr>
            <w:tcW w:w="1127" w:type="dxa"/>
            <w:vMerge w:val="restart"/>
            <w:tcBorders>
              <w:tl2br w:val="nil"/>
              <w:tr2bl w:val="nil"/>
            </w:tcBorders>
            <w:textDirection w:val="tbRlV"/>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二、</w:t>
            </w:r>
            <w:r>
              <w:rPr>
                <w:rFonts w:hint="eastAsia" w:ascii="宋体" w:hAnsi="宋体" w:eastAsia="宋体" w:cs="宋体"/>
                <w:kern w:val="0"/>
                <w:sz w:val="21"/>
                <w:szCs w:val="21"/>
                <w:lang w:val="en-US" w:eastAsia="zh-CN"/>
              </w:rPr>
              <w:t>运输</w:t>
            </w:r>
            <w:r>
              <w:rPr>
                <w:rFonts w:hint="eastAsia" w:ascii="宋体" w:hAnsi="宋体" w:eastAsia="宋体" w:cs="宋体"/>
                <w:kern w:val="0"/>
                <w:sz w:val="21"/>
                <w:szCs w:val="21"/>
              </w:rPr>
              <w:t>巷道</w:t>
            </w:r>
            <w:r>
              <w:rPr>
                <w:rFonts w:hint="eastAsia" w:ascii="宋体" w:hAnsi="宋体" w:eastAsia="宋体" w:cs="宋体"/>
                <w:kern w:val="0"/>
                <w:sz w:val="21"/>
                <w:szCs w:val="21"/>
                <w:lang w:val="en-US" w:eastAsia="zh-CN"/>
              </w:rPr>
              <w:t>与</w:t>
            </w:r>
            <w:r>
              <w:rPr>
                <w:rFonts w:hint="eastAsia" w:ascii="宋体" w:hAnsi="宋体" w:eastAsia="宋体" w:cs="宋体"/>
                <w:kern w:val="0"/>
                <w:sz w:val="21"/>
                <w:szCs w:val="21"/>
              </w:rPr>
              <w:t>硐室（8分）</w:t>
            </w:r>
          </w:p>
        </w:tc>
        <w:tc>
          <w:tcPr>
            <w:tcW w:w="1128" w:type="dxa"/>
            <w:tcBorders>
              <w:tl2br w:val="nil"/>
              <w:tr2bl w:val="nil"/>
            </w:tcBorders>
            <w:vAlign w:val="center"/>
          </w:tcPr>
          <w:p>
            <w:pPr>
              <w:widowControl/>
              <w:adjustRightInd w:val="0"/>
              <w:snapToGrid w:val="0"/>
              <w:spacing w:line="2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巷道车场</w:t>
            </w:r>
          </w:p>
        </w:tc>
        <w:tc>
          <w:tcPr>
            <w:tcW w:w="4442" w:type="dxa"/>
            <w:tcBorders>
              <w:tl2br w:val="nil"/>
              <w:tr2bl w:val="nil"/>
            </w:tcBorders>
            <w:vAlign w:val="center"/>
          </w:tcPr>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1.巷道净断面与支护符合《煤矿安全规程》，巷道（包括管、线、电缆）与运输设备最突出部分之间的最小间距符合规定；</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2.车场、巷道曲线半径、巷道连接方式、运输方式设计合理，符合《煤矿安全规程》及有关规定要求</w:t>
            </w:r>
          </w:p>
        </w:tc>
        <w:tc>
          <w:tcPr>
            <w:tcW w:w="5144" w:type="dxa"/>
            <w:tcBorders>
              <w:tl2br w:val="nil"/>
              <w:tr2bl w:val="nil"/>
            </w:tcBorders>
            <w:shd w:val="clear" w:color="auto" w:fill="auto"/>
            <w:vAlign w:val="center"/>
          </w:tcPr>
          <w:p>
            <w:pPr>
              <w:adjustRightInd w:val="0"/>
              <w:snapToGrid w:val="0"/>
              <w:rPr>
                <w:rFonts w:hint="eastAsia" w:ascii="宋体" w:hAnsi="宋体" w:eastAsia="宋体" w:cs="宋体"/>
                <w:sz w:val="21"/>
                <w:szCs w:val="21"/>
              </w:rPr>
            </w:pPr>
            <w:r>
              <w:rPr>
                <w:rFonts w:hint="eastAsia" w:ascii="宋体" w:hAnsi="宋体" w:eastAsia="宋体" w:cs="宋体"/>
                <w:sz w:val="21"/>
                <w:szCs w:val="21"/>
              </w:rPr>
              <w:t>1.巷道支护完整，巷道（包括管、线、电缆）与运输设备最突出部分之间的最小间距符合《煤矿安全规程》规定；</w:t>
            </w:r>
          </w:p>
          <w:p>
            <w:pPr>
              <w:adjustRightInd w:val="0"/>
              <w:snapToGrid w:val="0"/>
              <w:rPr>
                <w:rFonts w:hint="eastAsia" w:ascii="宋体" w:hAnsi="宋体" w:eastAsia="宋体" w:cs="宋体"/>
                <w:kern w:val="0"/>
                <w:sz w:val="21"/>
                <w:szCs w:val="21"/>
                <w:lang w:val="en-US" w:eastAsia="zh-CN" w:bidi="ar-SA"/>
              </w:rPr>
            </w:pPr>
            <w:r>
              <w:rPr>
                <w:rFonts w:hint="eastAsia" w:ascii="宋体" w:hAnsi="宋体" w:eastAsia="宋体" w:cs="宋体"/>
                <w:sz w:val="21"/>
                <w:szCs w:val="21"/>
              </w:rPr>
              <w:t>2.车场、巷道曲线半径、巷道连接方式、运输方式设计合理，符合《煤矿安全规程》及有关规定要求</w:t>
            </w:r>
          </w:p>
        </w:tc>
        <w:tc>
          <w:tcPr>
            <w:tcW w:w="2075" w:type="dxa"/>
            <w:vMerge w:val="restart"/>
            <w:tcBorders>
              <w:tl2br w:val="nil"/>
              <w:tr2bl w:val="nil"/>
            </w:tcBorders>
            <w:vAlign w:val="center"/>
          </w:tcPr>
          <w:p>
            <w:pPr>
              <w:widowControl/>
              <w:adjustRightInd w:val="0"/>
              <w:snapToGrid w:val="0"/>
              <w:spacing w:line="280" w:lineRule="exact"/>
              <w:rPr>
                <w:rFonts w:hint="eastAsia" w:ascii="宋体" w:hAnsi="宋体" w:eastAsia="宋体" w:cs="宋体"/>
                <w:color w:val="auto"/>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jc w:val="center"/>
        </w:trPr>
        <w:tc>
          <w:tcPr>
            <w:tcW w:w="1127" w:type="dxa"/>
            <w:vMerge w:val="continue"/>
            <w:tcBorders>
              <w:tl2br w:val="nil"/>
              <w:tr2bl w:val="nil"/>
            </w:tcBorders>
            <w:vAlign w:val="center"/>
          </w:tcPr>
          <w:p>
            <w:pPr>
              <w:widowControl/>
              <w:jc w:val="left"/>
              <w:rPr>
                <w:rFonts w:hint="eastAsia" w:ascii="宋体" w:hAnsi="宋体" w:eastAsia="宋体" w:cs="宋体"/>
                <w:kern w:val="0"/>
                <w:sz w:val="21"/>
                <w:szCs w:val="21"/>
              </w:rPr>
            </w:pPr>
          </w:p>
        </w:tc>
        <w:tc>
          <w:tcPr>
            <w:tcW w:w="1128" w:type="dxa"/>
            <w:tcBorders>
              <w:tl2br w:val="nil"/>
              <w:tr2bl w:val="nil"/>
            </w:tcBorders>
            <w:vAlign w:val="center"/>
          </w:tcPr>
          <w:p>
            <w:pPr>
              <w:widowControl/>
              <w:adjustRightInd w:val="0"/>
              <w:snapToGrid w:val="0"/>
              <w:spacing w:line="2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硐室车房</w:t>
            </w:r>
          </w:p>
        </w:tc>
        <w:tc>
          <w:tcPr>
            <w:tcW w:w="4442" w:type="dxa"/>
            <w:tcBorders>
              <w:tl2br w:val="nil"/>
              <w:tr2bl w:val="nil"/>
            </w:tcBorders>
            <w:vAlign w:val="center"/>
          </w:tcPr>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斜巷信号硐室、躲避硐、绞车房、候车室、调度站、人车库、充电硐室、错车硐室、车辆检修硐室等符合规定</w:t>
            </w:r>
          </w:p>
        </w:tc>
        <w:tc>
          <w:tcPr>
            <w:tcW w:w="5144" w:type="dxa"/>
            <w:tcBorders>
              <w:tl2br w:val="nil"/>
              <w:tr2bl w:val="nil"/>
            </w:tcBorders>
            <w:shd w:val="clear" w:color="auto" w:fill="auto"/>
            <w:vAlign w:val="center"/>
          </w:tcPr>
          <w:p>
            <w:pPr>
              <w:adjustRightInd w:val="0"/>
              <w:snapToGrid w:val="0"/>
              <w:rPr>
                <w:rFonts w:hint="eastAsia" w:ascii="宋体" w:hAnsi="宋体" w:eastAsia="宋体" w:cs="宋体"/>
                <w:kern w:val="0"/>
                <w:sz w:val="21"/>
                <w:szCs w:val="21"/>
                <w:lang w:val="en-US" w:eastAsia="zh-CN" w:bidi="ar-SA"/>
              </w:rPr>
            </w:pPr>
            <w:r>
              <w:rPr>
                <w:rFonts w:hint="eastAsia" w:ascii="宋体" w:hAnsi="宋体" w:eastAsia="宋体" w:cs="宋体"/>
                <w:sz w:val="21"/>
                <w:szCs w:val="21"/>
              </w:rPr>
              <w:t>斜巷信号硐室、躲避硐、绞车房、候车室、调度站、人车库、充电硐室、错车硐室、车辆检修硐室等符合《煤矿安全规程》及有关规定要求</w:t>
            </w:r>
          </w:p>
        </w:tc>
        <w:tc>
          <w:tcPr>
            <w:tcW w:w="2075" w:type="dxa"/>
            <w:vMerge w:val="continue"/>
            <w:tcBorders>
              <w:tl2br w:val="nil"/>
              <w:tr2bl w:val="nil"/>
            </w:tcBorders>
            <w:vAlign w:val="center"/>
          </w:tcPr>
          <w:p>
            <w:pPr>
              <w:widowControl/>
              <w:jc w:val="left"/>
              <w:rPr>
                <w:rFonts w:hint="eastAsia" w:ascii="宋体" w:hAnsi="宋体" w:eastAsia="宋体" w:cs="宋体"/>
                <w:color w:val="auto"/>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1127" w:type="dxa"/>
            <w:vMerge w:val="continue"/>
            <w:tcBorders>
              <w:tl2br w:val="nil"/>
              <w:tr2bl w:val="nil"/>
            </w:tcBorders>
            <w:vAlign w:val="center"/>
          </w:tcPr>
          <w:p>
            <w:pPr>
              <w:widowControl/>
              <w:jc w:val="left"/>
              <w:rPr>
                <w:rFonts w:hint="eastAsia" w:ascii="宋体" w:hAnsi="宋体" w:eastAsia="宋体" w:cs="宋体"/>
                <w:kern w:val="0"/>
                <w:sz w:val="21"/>
                <w:szCs w:val="21"/>
              </w:rPr>
            </w:pPr>
          </w:p>
        </w:tc>
        <w:tc>
          <w:tcPr>
            <w:tcW w:w="1128" w:type="dxa"/>
            <w:tcBorders>
              <w:tl2br w:val="nil"/>
              <w:tr2bl w:val="nil"/>
            </w:tcBorders>
            <w:vAlign w:val="center"/>
          </w:tcPr>
          <w:p>
            <w:pPr>
              <w:widowControl/>
              <w:adjustRightInd w:val="0"/>
              <w:snapToGrid w:val="0"/>
              <w:spacing w:line="2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装卸载站</w:t>
            </w:r>
          </w:p>
        </w:tc>
        <w:tc>
          <w:tcPr>
            <w:tcW w:w="4442" w:type="dxa"/>
            <w:tcBorders>
              <w:tl2br w:val="nil"/>
              <w:tr2bl w:val="nil"/>
            </w:tcBorders>
            <w:vAlign w:val="center"/>
          </w:tcPr>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车辆装载站、卸载站和转载站符合规定</w:t>
            </w:r>
          </w:p>
        </w:tc>
        <w:tc>
          <w:tcPr>
            <w:tcW w:w="5144" w:type="dxa"/>
            <w:tcBorders>
              <w:tl2br w:val="nil"/>
              <w:tr2bl w:val="nil"/>
            </w:tcBorders>
            <w:shd w:val="clear" w:color="auto" w:fill="auto"/>
            <w:vAlign w:val="center"/>
          </w:tcPr>
          <w:p>
            <w:pPr>
              <w:adjustRightInd w:val="0"/>
              <w:snapToGrid w:val="0"/>
              <w:rPr>
                <w:rFonts w:hint="eastAsia" w:ascii="宋体" w:hAnsi="宋体" w:eastAsia="宋体" w:cs="宋体"/>
                <w:kern w:val="0"/>
                <w:sz w:val="21"/>
                <w:szCs w:val="21"/>
                <w:lang w:val="en-US" w:eastAsia="zh-CN" w:bidi="ar-SA"/>
              </w:rPr>
            </w:pPr>
            <w:r>
              <w:rPr>
                <w:rFonts w:hint="eastAsia" w:ascii="宋体" w:hAnsi="宋体" w:eastAsia="宋体" w:cs="宋体"/>
                <w:sz w:val="21"/>
                <w:szCs w:val="21"/>
              </w:rPr>
              <w:t>车辆装载站、卸载站和转载站符合《煤矿安全规程》及有关规定要求</w:t>
            </w:r>
          </w:p>
        </w:tc>
        <w:tc>
          <w:tcPr>
            <w:tcW w:w="2075" w:type="dxa"/>
            <w:vMerge w:val="continue"/>
            <w:tcBorders>
              <w:tl2br w:val="nil"/>
              <w:tr2bl w:val="nil"/>
            </w:tcBorders>
            <w:vAlign w:val="center"/>
          </w:tcPr>
          <w:p>
            <w:pPr>
              <w:widowControl/>
              <w:jc w:val="left"/>
              <w:rPr>
                <w:rFonts w:hint="eastAsia" w:ascii="宋体" w:hAnsi="宋体" w:eastAsia="宋体" w:cs="宋体"/>
                <w:color w:val="auto"/>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962" w:hRule="atLeast"/>
          <w:jc w:val="center"/>
        </w:trPr>
        <w:tc>
          <w:tcPr>
            <w:tcW w:w="1127" w:type="dxa"/>
            <w:vMerge w:val="restart"/>
            <w:tcBorders>
              <w:tl2br w:val="nil"/>
              <w:tr2bl w:val="nil"/>
            </w:tcBorders>
            <w:textDirection w:val="tbRlV"/>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三、运输线路（24分）</w:t>
            </w:r>
          </w:p>
        </w:tc>
        <w:tc>
          <w:tcPr>
            <w:tcW w:w="1128" w:type="dxa"/>
            <w:vMerge w:val="restart"/>
            <w:tcBorders>
              <w:tl2br w:val="nil"/>
              <w:tr2bl w:val="nil"/>
            </w:tcBorders>
            <w:vAlign w:val="center"/>
          </w:tcPr>
          <w:p>
            <w:pPr>
              <w:widowControl/>
              <w:adjustRightInd w:val="0"/>
              <w:snapToGrid w:val="0"/>
              <w:spacing w:line="2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轨道线路</w:t>
            </w:r>
          </w:p>
        </w:tc>
        <w:tc>
          <w:tcPr>
            <w:tcW w:w="4442" w:type="dxa"/>
            <w:tcBorders>
              <w:tl2br w:val="nil"/>
              <w:tr2bl w:val="nil"/>
            </w:tcBorders>
            <w:vAlign w:val="center"/>
          </w:tcPr>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运行7t及以上机车、3t及以上矿车，或者运送15t及以上载荷的矿井井筒、主要水平运输大巷、车场、主要运输石门、采区主要上下山、地面运输系统轨道线路使用≥30kg/m的钢轨；其他线路使用≥18kg/m的钢轨。</w:t>
            </w:r>
            <w:r>
              <w:rPr>
                <w:rFonts w:hint="eastAsia" w:ascii="宋体" w:hAnsi="宋体" w:eastAsia="宋体" w:cs="宋体"/>
                <w:color w:val="0000FF"/>
                <w:sz w:val="21"/>
                <w:szCs w:val="21"/>
                <w:lang w:val="en-US" w:eastAsia="zh-CN"/>
              </w:rPr>
              <w:t>卡轨车、齿轨车和胶套轮车运行的轨道线路，应当采用不小于22kg/m的钢轨</w:t>
            </w:r>
          </w:p>
        </w:tc>
        <w:tc>
          <w:tcPr>
            <w:tcW w:w="5144" w:type="dxa"/>
            <w:tcBorders>
              <w:tl2br w:val="nil"/>
              <w:tr2bl w:val="nil"/>
            </w:tcBorders>
            <w:shd w:val="clear" w:color="auto" w:fill="auto"/>
            <w:vAlign w:val="center"/>
          </w:tcPr>
          <w:p>
            <w:pPr>
              <w:adjustRightInd w:val="0"/>
              <w:snapToGrid w:val="0"/>
              <w:rPr>
                <w:rFonts w:hint="eastAsia" w:ascii="宋体" w:hAnsi="宋体" w:eastAsia="宋体" w:cs="宋体"/>
                <w:kern w:val="0"/>
                <w:sz w:val="21"/>
                <w:szCs w:val="21"/>
                <w:lang w:val="en-US" w:eastAsia="zh-CN" w:bidi="ar-SA"/>
              </w:rPr>
            </w:pPr>
            <w:r>
              <w:rPr>
                <w:rFonts w:hint="eastAsia" w:ascii="宋体" w:hAnsi="宋体" w:eastAsia="宋体" w:cs="宋体"/>
                <w:sz w:val="21"/>
                <w:szCs w:val="21"/>
              </w:rPr>
              <w:t>1.运行7t及以上机车、3t及以上矿车，或者运送15t及以上载荷的矿井井筒、主要水平运输大巷、车场、主要运输石门、采区主要上下山、地面运输系统轨道线路使用不小于30kg/m的钢轨；其他线路使用不小于18kg/m的钢轨</w:t>
            </w:r>
          </w:p>
        </w:tc>
        <w:tc>
          <w:tcPr>
            <w:tcW w:w="2075" w:type="dxa"/>
            <w:tcBorders>
              <w:tl2br w:val="nil"/>
              <w:tr2bl w:val="nil"/>
            </w:tcBorders>
            <w:vAlign w:val="center"/>
          </w:tcPr>
          <w:p>
            <w:pPr>
              <w:widowControl/>
              <w:adjustRightInd w:val="0"/>
              <w:snapToGrid w:val="0"/>
              <w:spacing w:line="280" w:lineRule="exact"/>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增加了卡轨车、齿轨车和胶套轮车运行的轨道线路，应当采用不小于22kg/m的钢轨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078" w:hRule="atLeast"/>
          <w:jc w:val="center"/>
        </w:trPr>
        <w:tc>
          <w:tcPr>
            <w:tcW w:w="1127" w:type="dxa"/>
            <w:vMerge w:val="continue"/>
            <w:tcBorders>
              <w:tl2br w:val="nil"/>
              <w:tr2bl w:val="nil"/>
            </w:tcBorders>
            <w:vAlign w:val="center"/>
          </w:tcPr>
          <w:p>
            <w:pPr>
              <w:widowControl/>
              <w:jc w:val="left"/>
              <w:rPr>
                <w:rFonts w:hint="eastAsia" w:ascii="宋体" w:hAnsi="宋体" w:eastAsia="宋体" w:cs="宋体"/>
                <w:kern w:val="0"/>
                <w:sz w:val="21"/>
                <w:szCs w:val="21"/>
              </w:rPr>
            </w:pPr>
          </w:p>
        </w:tc>
        <w:tc>
          <w:tcPr>
            <w:tcW w:w="1128" w:type="dxa"/>
            <w:vMerge w:val="continue"/>
            <w:tcBorders>
              <w:tl2br w:val="nil"/>
              <w:tr2bl w:val="nil"/>
            </w:tcBorders>
            <w:vAlign w:val="center"/>
          </w:tcPr>
          <w:p>
            <w:pPr>
              <w:widowControl/>
              <w:jc w:val="left"/>
              <w:rPr>
                <w:rFonts w:hint="eastAsia" w:ascii="宋体" w:hAnsi="宋体" w:eastAsia="宋体" w:cs="宋体"/>
                <w:kern w:val="0"/>
                <w:sz w:val="21"/>
                <w:szCs w:val="21"/>
              </w:rPr>
            </w:pPr>
          </w:p>
        </w:tc>
        <w:tc>
          <w:tcPr>
            <w:tcW w:w="4442" w:type="dxa"/>
            <w:tcBorders>
              <w:tl2br w:val="nil"/>
              <w:tr2bl w:val="nil"/>
            </w:tcBorders>
            <w:vAlign w:val="center"/>
          </w:tcPr>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主要运输线路及行驶人车的轨道线路质量达到要求：</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⑴接头平整度：轨面高低和内侧错差≤2mm；</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⑵轨距：直线段和加宽后的曲线段允许偏差为-2～5mm；</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⑶水平：直线段及曲线段加高后两股钢轨偏差≤5mm；</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⑷轨缝≤5mm；</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⑸扣件齐全、牢固,与轨型相符；</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⑹轨枕规格及数量应符合标准要求，间距偏差不超过50mm；</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⑺道碴粒度及铺设厚度符合标准要求，轨枕下应捣实，轨枕露出高度≥50mm；</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⑻曲线段设置轨距拉杆</w:t>
            </w:r>
          </w:p>
        </w:tc>
        <w:tc>
          <w:tcPr>
            <w:tcW w:w="5144" w:type="dxa"/>
            <w:tcBorders>
              <w:tl2br w:val="nil"/>
              <w:tr2bl w:val="nil"/>
            </w:tcBorders>
            <w:shd w:val="clear" w:color="auto" w:fill="auto"/>
            <w:vAlign w:val="center"/>
          </w:tcPr>
          <w:p>
            <w:pPr>
              <w:adjustRightInd w:val="0"/>
              <w:snapToGrid w:val="0"/>
              <w:rPr>
                <w:rFonts w:hint="eastAsia" w:ascii="宋体" w:hAnsi="宋体" w:eastAsia="宋体" w:cs="宋体"/>
                <w:sz w:val="21"/>
                <w:szCs w:val="21"/>
              </w:rPr>
            </w:pPr>
            <w:r>
              <w:rPr>
                <w:rFonts w:hint="eastAsia" w:ascii="宋体" w:hAnsi="宋体" w:eastAsia="宋体" w:cs="宋体"/>
                <w:sz w:val="21"/>
                <w:szCs w:val="21"/>
              </w:rPr>
              <w:t>2.主要运输线路（主要运输大巷和主要运输石门、井底车场、主要绞车道，地面运煤、运矸干线和集中运载站车场的轨道）及行驶人车的轨道线路质量达到以下要求：</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⑴接头平整度：轨面高低和内侧错差不大于2mm；</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⑵轨距：直线段和加宽后的曲线段允许偏差为-2～5mm；</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⑶水平：直线段及曲线段加高后两股钢轨偏差不大于5mm；</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⑷轨缝不大于5mm；</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⑸扣件齐全、牢固,与轨型相符；</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⑹轨枕规格及数量应符合标准要求，间距偏差不超过50mm；</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⑺道碴粒度及铺设厚度符合标准要求，轨枕下应捣实，轨枕露出高度不小于50mm；</w:t>
            </w:r>
          </w:p>
          <w:p>
            <w:pPr>
              <w:adjustRightInd w:val="0"/>
              <w:snapToGrid w:val="0"/>
              <w:rPr>
                <w:rFonts w:hint="eastAsia" w:ascii="宋体" w:hAnsi="宋体" w:eastAsia="宋体" w:cs="宋体"/>
                <w:kern w:val="0"/>
                <w:sz w:val="21"/>
                <w:szCs w:val="21"/>
                <w:lang w:val="en-US" w:eastAsia="zh-CN" w:bidi="ar-SA"/>
              </w:rPr>
            </w:pPr>
            <w:r>
              <w:rPr>
                <w:rFonts w:hint="eastAsia" w:ascii="宋体" w:hAnsi="宋体" w:eastAsia="宋体" w:cs="宋体"/>
                <w:sz w:val="21"/>
                <w:szCs w:val="21"/>
              </w:rPr>
              <w:t>⑻曲线段设置轨距拉杆</w:t>
            </w:r>
          </w:p>
        </w:tc>
        <w:tc>
          <w:tcPr>
            <w:tcW w:w="2075" w:type="dxa"/>
            <w:tcBorders>
              <w:tl2br w:val="nil"/>
              <w:tr2bl w:val="nil"/>
            </w:tcBorders>
            <w:vAlign w:val="center"/>
          </w:tcPr>
          <w:p>
            <w:pPr>
              <w:widowControl/>
              <w:adjustRightInd w:val="0"/>
              <w:snapToGrid w:val="0"/>
              <w:spacing w:line="280" w:lineRule="exact"/>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要求未变，进行了提炼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56" w:hRule="atLeast"/>
          <w:jc w:val="center"/>
        </w:trPr>
        <w:tc>
          <w:tcPr>
            <w:tcW w:w="1127" w:type="dxa"/>
            <w:vMerge w:val="continue"/>
            <w:tcBorders>
              <w:tl2br w:val="nil"/>
              <w:tr2bl w:val="nil"/>
            </w:tcBorders>
            <w:vAlign w:val="center"/>
          </w:tcPr>
          <w:p>
            <w:pPr>
              <w:widowControl/>
              <w:jc w:val="left"/>
              <w:rPr>
                <w:rFonts w:hint="eastAsia" w:ascii="宋体" w:hAnsi="宋体" w:eastAsia="宋体" w:cs="宋体"/>
                <w:kern w:val="0"/>
                <w:sz w:val="21"/>
                <w:szCs w:val="21"/>
              </w:rPr>
            </w:pPr>
          </w:p>
        </w:tc>
        <w:tc>
          <w:tcPr>
            <w:tcW w:w="1128" w:type="dxa"/>
            <w:vMerge w:val="continue"/>
            <w:tcBorders>
              <w:tl2br w:val="nil"/>
              <w:tr2bl w:val="nil"/>
            </w:tcBorders>
            <w:vAlign w:val="center"/>
          </w:tcPr>
          <w:p>
            <w:pPr>
              <w:widowControl/>
              <w:jc w:val="left"/>
              <w:rPr>
                <w:rFonts w:hint="eastAsia" w:ascii="宋体" w:hAnsi="宋体" w:eastAsia="宋体" w:cs="宋体"/>
                <w:kern w:val="0"/>
                <w:sz w:val="21"/>
                <w:szCs w:val="21"/>
              </w:rPr>
            </w:pPr>
          </w:p>
        </w:tc>
        <w:tc>
          <w:tcPr>
            <w:tcW w:w="4442" w:type="dxa"/>
            <w:tcBorders>
              <w:tl2br w:val="nil"/>
              <w:tr2bl w:val="nil"/>
            </w:tcBorders>
            <w:vAlign w:val="center"/>
          </w:tcPr>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其他轨道线路质量应达到要求：</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⑴接头平整度：轨面高低和内侧错差≤2mm；</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⑵轨距：直线段和加宽后的曲线段允许偏差为-2～6mm；</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⑶水平：直线段及曲线段加高后两股钢轨偏差≤8mm；</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⑷轨缝≤5mm；</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⑸扣件齐全、牢固,与轨型相符；</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⑹轨枕规格及数量符合标准要求，间距偏差不超过50mm；</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⑺道碴粒度及铺设厚度符合标准要求，轨枕下应捣实</w:t>
            </w:r>
          </w:p>
        </w:tc>
        <w:tc>
          <w:tcPr>
            <w:tcW w:w="5144" w:type="dxa"/>
            <w:tcBorders>
              <w:tl2br w:val="nil"/>
              <w:tr2bl w:val="nil"/>
            </w:tcBorders>
            <w:shd w:val="clear" w:color="auto" w:fill="auto"/>
            <w:vAlign w:val="center"/>
          </w:tcPr>
          <w:p>
            <w:pPr>
              <w:adjustRightInd w:val="0"/>
              <w:snapToGrid w:val="0"/>
              <w:rPr>
                <w:rFonts w:hint="eastAsia" w:ascii="宋体" w:hAnsi="宋体" w:eastAsia="宋体" w:cs="宋体"/>
                <w:sz w:val="21"/>
                <w:szCs w:val="21"/>
              </w:rPr>
            </w:pPr>
            <w:r>
              <w:rPr>
                <w:rFonts w:hint="eastAsia" w:ascii="宋体" w:hAnsi="宋体" w:eastAsia="宋体" w:cs="宋体"/>
                <w:sz w:val="21"/>
                <w:szCs w:val="21"/>
              </w:rPr>
              <w:t>3.其他轨道线路不得有杂拌道（异型轨道长度小于50m为杂拌道），质量应达到以下要求：</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⑴接头平整度：轨面高低和内侧错差不大于2mm；</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⑵轨距：直线段和加宽后的曲线段允许偏差为-2～6mm；</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⑶水平：直线段及曲线段加高后两股钢轨偏差不大于8mm；</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⑷轨缝不大于5mm；</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⑸扣件齐全、牢固,与轨型相符；</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⑹轨枕规格及数量符合标准要求，间距偏差不超过50mm；</w:t>
            </w:r>
          </w:p>
          <w:p>
            <w:pPr>
              <w:adjustRightInd w:val="0"/>
              <w:snapToGrid w:val="0"/>
              <w:rPr>
                <w:rFonts w:hint="eastAsia" w:ascii="宋体" w:hAnsi="宋体" w:eastAsia="宋体" w:cs="宋体"/>
                <w:kern w:val="0"/>
                <w:sz w:val="21"/>
                <w:szCs w:val="21"/>
                <w:lang w:val="en-US" w:eastAsia="zh-CN" w:bidi="ar-SA"/>
              </w:rPr>
            </w:pPr>
            <w:r>
              <w:rPr>
                <w:rFonts w:hint="eastAsia" w:ascii="宋体" w:hAnsi="宋体" w:eastAsia="宋体" w:cs="宋体"/>
                <w:sz w:val="21"/>
                <w:szCs w:val="21"/>
              </w:rPr>
              <w:t>⑺道碴粒度及铺设厚度符合标准要求，轨枕下应捣实</w:t>
            </w:r>
          </w:p>
        </w:tc>
        <w:tc>
          <w:tcPr>
            <w:tcW w:w="2075" w:type="dxa"/>
            <w:tcBorders>
              <w:tl2br w:val="nil"/>
              <w:tr2bl w:val="nil"/>
            </w:tcBorders>
            <w:vAlign w:val="center"/>
          </w:tcPr>
          <w:p>
            <w:pPr>
              <w:widowControl/>
              <w:adjustRightInd w:val="0"/>
              <w:snapToGrid w:val="0"/>
              <w:spacing w:line="280" w:lineRule="exact"/>
              <w:rPr>
                <w:rFonts w:hint="eastAsia" w:ascii="宋体" w:hAnsi="宋体" w:eastAsia="宋体" w:cs="宋体"/>
                <w:color w:val="auto"/>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1127" w:type="dxa"/>
            <w:vMerge w:val="continue"/>
            <w:tcBorders>
              <w:tl2br w:val="nil"/>
              <w:tr2bl w:val="nil"/>
            </w:tcBorders>
            <w:vAlign w:val="center"/>
          </w:tcPr>
          <w:p>
            <w:pPr>
              <w:widowControl/>
              <w:jc w:val="left"/>
              <w:rPr>
                <w:rFonts w:hint="eastAsia" w:ascii="宋体" w:hAnsi="宋体" w:eastAsia="宋体" w:cs="宋体"/>
                <w:kern w:val="0"/>
                <w:sz w:val="21"/>
                <w:szCs w:val="21"/>
              </w:rPr>
            </w:pPr>
          </w:p>
        </w:tc>
        <w:tc>
          <w:tcPr>
            <w:tcW w:w="1128" w:type="dxa"/>
            <w:vMerge w:val="continue"/>
            <w:tcBorders>
              <w:tl2br w:val="nil"/>
              <w:tr2bl w:val="nil"/>
            </w:tcBorders>
            <w:vAlign w:val="center"/>
          </w:tcPr>
          <w:p>
            <w:pPr>
              <w:widowControl/>
              <w:jc w:val="left"/>
              <w:rPr>
                <w:rFonts w:hint="eastAsia" w:ascii="宋体" w:hAnsi="宋体" w:eastAsia="宋体" w:cs="宋体"/>
                <w:kern w:val="0"/>
                <w:sz w:val="21"/>
                <w:szCs w:val="21"/>
              </w:rPr>
            </w:pPr>
          </w:p>
        </w:tc>
        <w:tc>
          <w:tcPr>
            <w:tcW w:w="4442" w:type="dxa"/>
            <w:tcBorders>
              <w:tl2br w:val="nil"/>
              <w:tr2bl w:val="nil"/>
            </w:tcBorders>
            <w:vAlign w:val="center"/>
          </w:tcPr>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异型轨道线路、齿轨线路质量符合设计及说明书要求</w:t>
            </w:r>
          </w:p>
        </w:tc>
        <w:tc>
          <w:tcPr>
            <w:tcW w:w="5144" w:type="dxa"/>
            <w:tcBorders>
              <w:tl2br w:val="nil"/>
              <w:tr2bl w:val="nil"/>
            </w:tcBorders>
            <w:shd w:val="clear" w:color="auto" w:fill="auto"/>
            <w:vAlign w:val="center"/>
          </w:tcPr>
          <w:p>
            <w:pPr>
              <w:adjustRightInd w:val="0"/>
              <w:snapToGrid w:val="0"/>
              <w:rPr>
                <w:rFonts w:hint="eastAsia" w:ascii="宋体" w:hAnsi="宋体" w:eastAsia="宋体" w:cs="宋体"/>
                <w:kern w:val="0"/>
                <w:sz w:val="21"/>
                <w:szCs w:val="21"/>
                <w:lang w:val="en-US" w:eastAsia="zh-CN" w:bidi="ar-SA"/>
              </w:rPr>
            </w:pPr>
            <w:r>
              <w:rPr>
                <w:rFonts w:hint="eastAsia" w:ascii="宋体" w:hAnsi="宋体" w:eastAsia="宋体" w:cs="宋体"/>
                <w:sz w:val="21"/>
                <w:szCs w:val="21"/>
              </w:rPr>
              <w:t>4.异型轨道线路、齿轨线路质量符合设计及说明书要求</w:t>
            </w:r>
          </w:p>
        </w:tc>
        <w:tc>
          <w:tcPr>
            <w:tcW w:w="2075" w:type="dxa"/>
            <w:tcBorders>
              <w:tl2br w:val="nil"/>
              <w:tr2bl w:val="nil"/>
            </w:tcBorders>
            <w:vAlign w:val="center"/>
          </w:tcPr>
          <w:p>
            <w:pPr>
              <w:widowControl/>
              <w:adjustRightInd w:val="0"/>
              <w:snapToGrid w:val="0"/>
              <w:spacing w:line="280" w:lineRule="exact"/>
              <w:rPr>
                <w:rFonts w:hint="eastAsia" w:ascii="宋体" w:hAnsi="宋体" w:eastAsia="宋体" w:cs="宋体"/>
                <w:color w:val="auto"/>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03" w:hRule="atLeast"/>
          <w:jc w:val="center"/>
        </w:trPr>
        <w:tc>
          <w:tcPr>
            <w:tcW w:w="1127" w:type="dxa"/>
            <w:vMerge w:val="continue"/>
            <w:tcBorders>
              <w:tl2br w:val="nil"/>
              <w:tr2bl w:val="nil"/>
            </w:tcBorders>
            <w:vAlign w:val="center"/>
          </w:tcPr>
          <w:p>
            <w:pPr>
              <w:widowControl/>
              <w:jc w:val="left"/>
              <w:rPr>
                <w:rFonts w:hint="eastAsia" w:ascii="宋体" w:hAnsi="宋体" w:eastAsia="宋体" w:cs="宋体"/>
                <w:kern w:val="0"/>
                <w:sz w:val="21"/>
                <w:szCs w:val="21"/>
              </w:rPr>
            </w:pPr>
          </w:p>
        </w:tc>
        <w:tc>
          <w:tcPr>
            <w:tcW w:w="1128" w:type="dxa"/>
            <w:tcBorders>
              <w:tl2br w:val="nil"/>
              <w:tr2bl w:val="nil"/>
            </w:tcBorders>
            <w:vAlign w:val="center"/>
          </w:tcPr>
          <w:p>
            <w:pPr>
              <w:widowControl/>
              <w:adjustRightInd w:val="0"/>
              <w:snapToGrid w:val="0"/>
              <w:spacing w:line="2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单轨吊线路</w:t>
            </w:r>
          </w:p>
        </w:tc>
        <w:tc>
          <w:tcPr>
            <w:tcW w:w="4442" w:type="dxa"/>
            <w:tcBorders>
              <w:tl2br w:val="nil"/>
              <w:tr2bl w:val="nil"/>
            </w:tcBorders>
            <w:vAlign w:val="center"/>
          </w:tcPr>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单轨吊车线路达到要求：</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1.下轨面接头间隙直线段≤3mm；</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2.接头高低和左右允许偏差分别为2mm和1mm；</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3.接头摆角垂直≤7°，水平≤3°；</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4.水平弯轨曲率半径≥4m，垂直弯轨曲率半径≥l0m；</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5.起始端、终止端设置轨端阻车器</w:t>
            </w:r>
          </w:p>
        </w:tc>
        <w:tc>
          <w:tcPr>
            <w:tcW w:w="5144" w:type="dxa"/>
            <w:tcBorders>
              <w:tl2br w:val="nil"/>
              <w:tr2bl w:val="nil"/>
            </w:tcBorders>
            <w:shd w:val="clear" w:color="auto" w:fill="auto"/>
            <w:vAlign w:val="center"/>
          </w:tcPr>
          <w:p>
            <w:pPr>
              <w:adjustRightInd w:val="0"/>
              <w:snapToGrid w:val="0"/>
              <w:rPr>
                <w:rFonts w:hint="eastAsia" w:ascii="宋体" w:hAnsi="宋体" w:eastAsia="宋体" w:cs="宋体"/>
                <w:sz w:val="21"/>
                <w:szCs w:val="21"/>
              </w:rPr>
            </w:pPr>
            <w:r>
              <w:rPr>
                <w:rFonts w:hint="eastAsia" w:ascii="宋体" w:hAnsi="宋体" w:eastAsia="宋体" w:cs="宋体"/>
                <w:sz w:val="21"/>
                <w:szCs w:val="21"/>
              </w:rPr>
              <w:t>单轨吊车线路达到以下要求：</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⑴下轨面接头间隙直线段不大于3mm；</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⑵接头高低和左右允许偏差分别为2mm和1mm；</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⑶接头摆角垂直不大于7°，水平不大于3°；</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⑷水平弯轨曲率半径不小于4m，垂直弯轨曲率半径不小于l0m；</w:t>
            </w:r>
          </w:p>
          <w:p>
            <w:pPr>
              <w:widowControl/>
              <w:adjustRightInd w:val="0"/>
              <w:snapToGrid w:val="0"/>
              <w:spacing w:line="280" w:lineRule="exact"/>
              <w:jc w:val="left"/>
              <w:rPr>
                <w:rFonts w:hint="eastAsia" w:ascii="宋体" w:hAnsi="宋体" w:eastAsia="宋体" w:cs="宋体"/>
                <w:kern w:val="0"/>
                <w:sz w:val="21"/>
                <w:szCs w:val="21"/>
                <w:lang w:val="en-US" w:eastAsia="zh-CN" w:bidi="ar-SA"/>
              </w:rPr>
            </w:pPr>
            <w:r>
              <w:rPr>
                <w:rFonts w:hint="eastAsia" w:ascii="宋体" w:hAnsi="宋体" w:eastAsia="宋体" w:cs="宋体"/>
                <w:sz w:val="21"/>
                <w:szCs w:val="21"/>
              </w:rPr>
              <w:t>⑸起始端、终止端设置轨端阻车器</w:t>
            </w:r>
          </w:p>
        </w:tc>
        <w:tc>
          <w:tcPr>
            <w:tcW w:w="2075" w:type="dxa"/>
            <w:tcBorders>
              <w:tl2br w:val="nil"/>
              <w:tr2bl w:val="nil"/>
            </w:tcBorders>
            <w:vAlign w:val="center"/>
          </w:tcPr>
          <w:p>
            <w:pPr>
              <w:widowControl/>
              <w:adjustRightInd w:val="0"/>
              <w:snapToGrid w:val="0"/>
              <w:spacing w:line="280" w:lineRule="exact"/>
              <w:rPr>
                <w:rFonts w:hint="eastAsia" w:ascii="宋体" w:hAnsi="宋体" w:eastAsia="宋体" w:cs="宋体"/>
                <w:color w:val="auto"/>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157" w:hRule="atLeast"/>
          <w:jc w:val="center"/>
        </w:trPr>
        <w:tc>
          <w:tcPr>
            <w:tcW w:w="1127" w:type="dxa"/>
            <w:vMerge w:val="continue"/>
            <w:tcBorders>
              <w:tl2br w:val="nil"/>
              <w:tr2bl w:val="nil"/>
            </w:tcBorders>
            <w:vAlign w:val="center"/>
          </w:tcPr>
          <w:p>
            <w:pPr>
              <w:widowControl/>
              <w:jc w:val="left"/>
              <w:rPr>
                <w:rFonts w:hint="eastAsia" w:ascii="宋体" w:hAnsi="宋体" w:eastAsia="宋体" w:cs="宋体"/>
                <w:kern w:val="0"/>
                <w:sz w:val="21"/>
                <w:szCs w:val="21"/>
              </w:rPr>
            </w:pPr>
          </w:p>
        </w:tc>
        <w:tc>
          <w:tcPr>
            <w:tcW w:w="1128" w:type="dxa"/>
            <w:tcBorders>
              <w:tl2br w:val="nil"/>
              <w:tr2bl w:val="nil"/>
            </w:tcBorders>
            <w:vAlign w:val="center"/>
          </w:tcPr>
          <w:p>
            <w:pPr>
              <w:widowControl/>
              <w:adjustRightInd w:val="0"/>
              <w:snapToGrid w:val="0"/>
              <w:spacing w:line="2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无轨胶轮车道路</w:t>
            </w:r>
          </w:p>
        </w:tc>
        <w:tc>
          <w:tcPr>
            <w:tcW w:w="4442" w:type="dxa"/>
            <w:tcBorders>
              <w:tl2br w:val="nil"/>
              <w:tr2bl w:val="nil"/>
            </w:tcBorders>
            <w:vAlign w:val="center"/>
          </w:tcPr>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color w:val="auto"/>
                <w:kern w:val="0"/>
                <w:sz w:val="21"/>
                <w:szCs w:val="21"/>
              </w:rPr>
              <w:t>主要运输巷道</w:t>
            </w:r>
            <w:r>
              <w:rPr>
                <w:rFonts w:hint="eastAsia" w:ascii="宋体" w:hAnsi="宋体" w:eastAsia="宋体" w:cs="宋体"/>
                <w:color w:val="0000FF"/>
                <w:sz w:val="21"/>
                <w:szCs w:val="21"/>
                <w:lang w:val="en-US" w:eastAsia="zh-CN"/>
              </w:rPr>
              <w:t>和行驶支架搬运车的采煤工作面顺槽，</w:t>
            </w:r>
            <w:r>
              <w:rPr>
                <w:rFonts w:hint="eastAsia" w:ascii="宋体" w:hAnsi="宋体" w:eastAsia="宋体" w:cs="宋体"/>
                <w:color w:val="auto"/>
                <w:kern w:val="0"/>
                <w:sz w:val="21"/>
                <w:szCs w:val="21"/>
              </w:rPr>
              <w:t>道路</w:t>
            </w:r>
            <w:r>
              <w:rPr>
                <w:rFonts w:hint="eastAsia" w:ascii="宋体" w:hAnsi="宋体" w:eastAsia="宋体" w:cs="宋体"/>
                <w:color w:val="0000FF"/>
                <w:kern w:val="0"/>
                <w:sz w:val="21"/>
                <w:szCs w:val="21"/>
              </w:rPr>
              <w:t>必须</w:t>
            </w:r>
            <w:r>
              <w:rPr>
                <w:rFonts w:hint="eastAsia" w:ascii="宋体" w:hAnsi="宋体" w:eastAsia="宋体" w:cs="宋体"/>
                <w:color w:val="auto"/>
                <w:kern w:val="0"/>
                <w:sz w:val="21"/>
                <w:szCs w:val="21"/>
              </w:rPr>
              <w:t>进行混凝土、铺钢板等方式硬化，路面平整</w:t>
            </w:r>
          </w:p>
        </w:tc>
        <w:tc>
          <w:tcPr>
            <w:tcW w:w="5144" w:type="dxa"/>
            <w:tcBorders>
              <w:tl2br w:val="nil"/>
              <w:tr2bl w:val="nil"/>
            </w:tcBorders>
            <w:shd w:val="clear" w:color="auto" w:fill="auto"/>
            <w:vAlign w:val="center"/>
          </w:tcPr>
          <w:p>
            <w:pPr>
              <w:widowControl/>
              <w:adjustRightInd w:val="0"/>
              <w:snapToGrid w:val="0"/>
              <w:spacing w:line="280" w:lineRule="exact"/>
              <w:jc w:val="left"/>
              <w:rPr>
                <w:rFonts w:hint="eastAsia" w:ascii="宋体" w:hAnsi="宋体" w:eastAsia="宋体" w:cs="宋体"/>
                <w:kern w:val="0"/>
                <w:sz w:val="21"/>
                <w:szCs w:val="21"/>
                <w:lang w:val="en-US" w:eastAsia="zh-CN" w:bidi="ar-SA"/>
              </w:rPr>
            </w:pPr>
            <w:r>
              <w:rPr>
                <w:rFonts w:hint="eastAsia" w:ascii="宋体" w:hAnsi="宋体" w:eastAsia="宋体" w:cs="宋体"/>
                <w:sz w:val="21"/>
                <w:szCs w:val="21"/>
              </w:rPr>
              <w:t>无轨胶轮车主要道路采用混凝土、铺钢板等方式硬化</w:t>
            </w:r>
          </w:p>
        </w:tc>
        <w:tc>
          <w:tcPr>
            <w:tcW w:w="2075" w:type="dxa"/>
            <w:tcBorders>
              <w:tl2br w:val="nil"/>
              <w:tr2bl w:val="nil"/>
            </w:tcBorders>
            <w:shd w:val="clear" w:color="auto" w:fill="auto"/>
            <w:vAlign w:val="center"/>
          </w:tcPr>
          <w:p>
            <w:pPr>
              <w:widowControl/>
              <w:adjustRightInd w:val="0"/>
              <w:snapToGrid w:val="0"/>
              <w:spacing w:line="28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增加：行驶支架搬运车的采煤工作面顺槽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14" w:hRule="atLeast"/>
          <w:jc w:val="center"/>
        </w:trPr>
        <w:tc>
          <w:tcPr>
            <w:tcW w:w="1127" w:type="dxa"/>
            <w:vMerge w:val="continue"/>
            <w:tcBorders>
              <w:tl2br w:val="nil"/>
              <w:tr2bl w:val="nil"/>
            </w:tcBorders>
            <w:vAlign w:val="center"/>
          </w:tcPr>
          <w:p>
            <w:pPr>
              <w:widowControl/>
              <w:jc w:val="left"/>
              <w:rPr>
                <w:rFonts w:hint="eastAsia" w:ascii="宋体" w:hAnsi="宋体" w:eastAsia="宋体" w:cs="宋体"/>
                <w:kern w:val="0"/>
                <w:sz w:val="21"/>
                <w:szCs w:val="21"/>
              </w:rPr>
            </w:pPr>
          </w:p>
        </w:tc>
        <w:tc>
          <w:tcPr>
            <w:tcW w:w="1128" w:type="dxa"/>
            <w:vMerge w:val="restart"/>
            <w:tcBorders>
              <w:tl2br w:val="nil"/>
              <w:tr2bl w:val="nil"/>
            </w:tcBorders>
            <w:vAlign w:val="center"/>
          </w:tcPr>
          <w:p>
            <w:pPr>
              <w:widowControl/>
              <w:adjustRightInd w:val="0"/>
              <w:snapToGrid w:val="0"/>
              <w:spacing w:line="2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道岔</w:t>
            </w:r>
          </w:p>
        </w:tc>
        <w:tc>
          <w:tcPr>
            <w:tcW w:w="4442" w:type="dxa"/>
            <w:tcBorders>
              <w:tl2br w:val="nil"/>
              <w:tr2bl w:val="nil"/>
            </w:tcBorders>
            <w:vAlign w:val="center"/>
          </w:tcPr>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道岔轨型不低于线路轨型，无非标准道岔，道岔质量达到要求：</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⑴轨距按标准加宽后及辙岔前后轨距偏差≤+3mm；</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⑵水平偏差≤5mm；</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⑶接头平整度：轨面高低及内侧错差≤2mm；</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⑷尖轨尖端与基本轨密贴，间隙≤2mm，无跳动，尖轨损伤长度≤100mm，在尖轨顶面宽20mm处与基本轨高低差≤2mm；</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⑸心轨和护轨工作边间距按标准轨距减小28mm后，偏差+2mm；</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⑹扣件齐全、牢固，与轨型相符；</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⑺轨枕规格及数量符合标准要求，间距偏差不超过50mm，轨枕下应捣实</w:t>
            </w:r>
          </w:p>
        </w:tc>
        <w:tc>
          <w:tcPr>
            <w:tcW w:w="5144" w:type="dxa"/>
            <w:tcBorders>
              <w:tl2br w:val="nil"/>
              <w:tr2bl w:val="nil"/>
            </w:tcBorders>
            <w:shd w:val="clear" w:color="auto" w:fill="auto"/>
            <w:vAlign w:val="center"/>
          </w:tcPr>
          <w:p>
            <w:pPr>
              <w:adjustRightInd w:val="0"/>
              <w:snapToGrid w:val="0"/>
              <w:rPr>
                <w:rFonts w:hint="eastAsia" w:ascii="宋体" w:hAnsi="宋体" w:eastAsia="宋体" w:cs="宋体"/>
                <w:sz w:val="21"/>
                <w:szCs w:val="21"/>
              </w:rPr>
            </w:pPr>
            <w:r>
              <w:rPr>
                <w:rFonts w:hint="eastAsia" w:ascii="宋体" w:hAnsi="宋体" w:eastAsia="宋体" w:cs="宋体"/>
                <w:sz w:val="21"/>
                <w:szCs w:val="21"/>
              </w:rPr>
              <w:t>1.道岔轨型不低于线路轨型，无非标准道岔，道岔质量达到以下要求：</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⑴轨距按标准加宽后及辙岔前后轨距偏差不大于+3mm；</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⑵水平偏差不大于5mm；</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⑶接头平整度：轨面高低及内侧错差不大于2mm；</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⑷尖轨尖端与基本轨密贴，间隙不大于2mm，无跳动，尖轨损伤长度不超过100mm，在尖轨顶面宽20mm处与基本轨高低差不大于2mm；</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⑸心轨和护轨工作边间距按标准轨距减小28mm后，偏差+2mm；</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⑹扣件齐全、牢固，与轨型相符；</w:t>
            </w:r>
          </w:p>
          <w:p>
            <w:pPr>
              <w:adjustRightInd w:val="0"/>
              <w:snapToGrid w:val="0"/>
              <w:rPr>
                <w:rFonts w:hint="eastAsia" w:ascii="宋体" w:hAnsi="宋体" w:eastAsia="宋体" w:cs="宋体"/>
                <w:kern w:val="0"/>
                <w:sz w:val="21"/>
                <w:szCs w:val="21"/>
                <w:lang w:val="en-US" w:eastAsia="zh-CN" w:bidi="ar-SA"/>
              </w:rPr>
            </w:pPr>
            <w:r>
              <w:rPr>
                <w:rFonts w:hint="eastAsia" w:ascii="宋体" w:hAnsi="宋体" w:eastAsia="宋体" w:cs="宋体"/>
                <w:sz w:val="21"/>
                <w:szCs w:val="21"/>
              </w:rPr>
              <w:t>⑺轨枕规格及数量符合标准要求，间距偏差不超过50mm，轨枕下应捣实</w:t>
            </w:r>
          </w:p>
        </w:tc>
        <w:tc>
          <w:tcPr>
            <w:tcW w:w="2075" w:type="dxa"/>
            <w:tcBorders>
              <w:tl2br w:val="nil"/>
              <w:tr2bl w:val="nil"/>
            </w:tcBorders>
            <w:vAlign w:val="center"/>
          </w:tcPr>
          <w:p>
            <w:pPr>
              <w:widowControl/>
              <w:adjustRightInd w:val="0"/>
              <w:snapToGrid w:val="0"/>
              <w:spacing w:line="280" w:lineRule="exact"/>
              <w:rPr>
                <w:rFonts w:hint="eastAsia" w:ascii="宋体" w:hAnsi="宋体" w:eastAsia="宋体" w:cs="宋体"/>
                <w:color w:val="auto"/>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995" w:hRule="atLeast"/>
          <w:jc w:val="center"/>
        </w:trPr>
        <w:tc>
          <w:tcPr>
            <w:tcW w:w="1127" w:type="dxa"/>
            <w:vMerge w:val="continue"/>
            <w:tcBorders>
              <w:tl2br w:val="nil"/>
              <w:tr2bl w:val="nil"/>
            </w:tcBorders>
            <w:vAlign w:val="center"/>
          </w:tcPr>
          <w:p>
            <w:pPr>
              <w:widowControl/>
              <w:jc w:val="left"/>
              <w:rPr>
                <w:rFonts w:hint="eastAsia" w:ascii="宋体" w:hAnsi="宋体" w:eastAsia="宋体" w:cs="宋体"/>
                <w:kern w:val="0"/>
                <w:sz w:val="21"/>
                <w:szCs w:val="21"/>
              </w:rPr>
            </w:pPr>
          </w:p>
        </w:tc>
        <w:tc>
          <w:tcPr>
            <w:tcW w:w="1128" w:type="dxa"/>
            <w:vMerge w:val="continue"/>
            <w:tcBorders>
              <w:tl2br w:val="nil"/>
              <w:tr2bl w:val="nil"/>
            </w:tcBorders>
            <w:vAlign w:val="center"/>
          </w:tcPr>
          <w:p>
            <w:pPr>
              <w:widowControl/>
              <w:jc w:val="left"/>
              <w:rPr>
                <w:rFonts w:hint="eastAsia" w:ascii="宋体" w:hAnsi="宋体" w:eastAsia="宋体" w:cs="宋体"/>
                <w:kern w:val="0"/>
                <w:sz w:val="21"/>
                <w:szCs w:val="21"/>
              </w:rPr>
            </w:pPr>
          </w:p>
        </w:tc>
        <w:tc>
          <w:tcPr>
            <w:tcW w:w="4442" w:type="dxa"/>
            <w:tcBorders>
              <w:tl2br w:val="nil"/>
              <w:tr2bl w:val="nil"/>
            </w:tcBorders>
            <w:vAlign w:val="center"/>
          </w:tcPr>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单轨吊道岔达到要求：</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⑴道岔框架4个悬挂点的受力应均匀，固定点数均匀分布不少于7处；</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⑵下轨面接头轨缝≤3mm；</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⑶轨道无变形，活动轨动作灵敏，准确到位；</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⑷机械闭锁可靠；</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⑸连接轨断开处有轨端阻车器</w:t>
            </w:r>
          </w:p>
        </w:tc>
        <w:tc>
          <w:tcPr>
            <w:tcW w:w="5144" w:type="dxa"/>
            <w:tcBorders>
              <w:tl2br w:val="nil"/>
              <w:tr2bl w:val="nil"/>
            </w:tcBorders>
            <w:shd w:val="clear" w:color="auto" w:fill="auto"/>
            <w:vAlign w:val="center"/>
          </w:tcPr>
          <w:p>
            <w:pPr>
              <w:adjustRightInd w:val="0"/>
              <w:snapToGrid w:val="0"/>
              <w:rPr>
                <w:rFonts w:hint="eastAsia" w:ascii="宋体" w:hAnsi="宋体" w:eastAsia="宋体" w:cs="宋体"/>
                <w:sz w:val="21"/>
                <w:szCs w:val="21"/>
              </w:rPr>
            </w:pPr>
            <w:r>
              <w:rPr>
                <w:rFonts w:hint="eastAsia" w:ascii="宋体" w:hAnsi="宋体" w:eastAsia="宋体" w:cs="宋体"/>
                <w:sz w:val="21"/>
                <w:szCs w:val="21"/>
              </w:rPr>
              <w:t>2.单轨吊道岔达到以下要求：</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⑴道岔框架4个悬挂点的受力应均匀，固定点数均匀分布不少于7处；</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⑵下轨面接头轨缝不大于3mm；</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⑶轨道无变形，活动轨动作灵敏，准确到位；</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⑷机械闭锁可靠；</w:t>
            </w:r>
          </w:p>
          <w:p>
            <w:pPr>
              <w:adjustRightInd w:val="0"/>
              <w:snapToGrid w:val="0"/>
              <w:rPr>
                <w:rFonts w:hint="eastAsia" w:ascii="宋体" w:hAnsi="宋体" w:eastAsia="宋体" w:cs="宋体"/>
                <w:kern w:val="0"/>
                <w:sz w:val="21"/>
                <w:szCs w:val="21"/>
                <w:lang w:val="en-US" w:eastAsia="zh-CN" w:bidi="ar-SA"/>
              </w:rPr>
            </w:pPr>
            <w:r>
              <w:rPr>
                <w:rFonts w:hint="eastAsia" w:ascii="宋体" w:hAnsi="宋体" w:eastAsia="宋体" w:cs="宋体"/>
                <w:sz w:val="21"/>
                <w:szCs w:val="21"/>
              </w:rPr>
              <w:t>⑸连接轨断开处设有轨端阻车器</w:t>
            </w:r>
          </w:p>
        </w:tc>
        <w:tc>
          <w:tcPr>
            <w:tcW w:w="2075" w:type="dxa"/>
            <w:tcBorders>
              <w:tl2br w:val="nil"/>
              <w:tr2bl w:val="nil"/>
            </w:tcBorders>
            <w:vAlign w:val="center"/>
          </w:tcPr>
          <w:p>
            <w:pPr>
              <w:widowControl/>
              <w:adjustRightInd w:val="0"/>
              <w:snapToGrid w:val="0"/>
              <w:spacing w:line="280" w:lineRule="exact"/>
              <w:rPr>
                <w:rFonts w:hint="eastAsia" w:ascii="宋体" w:hAnsi="宋体" w:eastAsia="宋体" w:cs="宋体"/>
                <w:color w:val="auto"/>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518" w:hRule="atLeast"/>
          <w:jc w:val="center"/>
        </w:trPr>
        <w:tc>
          <w:tcPr>
            <w:tcW w:w="1127" w:type="dxa"/>
            <w:vMerge w:val="continue"/>
            <w:tcBorders>
              <w:tl2br w:val="nil"/>
              <w:tr2bl w:val="nil"/>
            </w:tcBorders>
            <w:vAlign w:val="center"/>
          </w:tcPr>
          <w:p>
            <w:pPr>
              <w:widowControl/>
              <w:jc w:val="left"/>
              <w:rPr>
                <w:rFonts w:hint="eastAsia" w:ascii="宋体" w:hAnsi="宋体" w:eastAsia="宋体" w:cs="宋体"/>
                <w:kern w:val="0"/>
                <w:sz w:val="21"/>
                <w:szCs w:val="21"/>
              </w:rPr>
            </w:pPr>
          </w:p>
        </w:tc>
        <w:tc>
          <w:tcPr>
            <w:tcW w:w="1128" w:type="dxa"/>
            <w:tcBorders>
              <w:tl2br w:val="nil"/>
              <w:tr2bl w:val="nil"/>
            </w:tcBorders>
            <w:vAlign w:val="center"/>
          </w:tcPr>
          <w:p>
            <w:pPr>
              <w:widowControl/>
              <w:adjustRightInd w:val="0"/>
              <w:snapToGrid w:val="0"/>
              <w:spacing w:line="2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窄轨架线电机车牵引网络</w:t>
            </w:r>
          </w:p>
        </w:tc>
        <w:tc>
          <w:tcPr>
            <w:tcW w:w="4442" w:type="dxa"/>
            <w:tcBorders>
              <w:tl2br w:val="nil"/>
              <w:tr2bl w:val="nil"/>
            </w:tcBorders>
            <w:vAlign w:val="center"/>
          </w:tcPr>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1.敷设质量达到要求：</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⑴架空线悬挂高度、架空线与巷道顶或棚梁之间的距离、悬吊绝缘子距架空线的距离、架空线悬挂点的间距等符合规定；</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⑵架空线直流电压不超过600V；</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⑶钢轨接缝处的电阻符合要求；</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⑷轨道绝缘设置符合要求；</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2.电机车架空线巷道乘人车场装备有自动停送电开关</w:t>
            </w:r>
          </w:p>
        </w:tc>
        <w:tc>
          <w:tcPr>
            <w:tcW w:w="5144" w:type="dxa"/>
            <w:tcBorders>
              <w:tl2br w:val="nil"/>
              <w:tr2bl w:val="nil"/>
            </w:tcBorders>
            <w:shd w:val="clear" w:color="auto" w:fill="auto"/>
            <w:vAlign w:val="center"/>
          </w:tcPr>
          <w:p>
            <w:pPr>
              <w:adjustRightInd w:val="0"/>
              <w:snapToGrid w:val="0"/>
              <w:rPr>
                <w:rFonts w:hint="eastAsia" w:ascii="宋体" w:hAnsi="宋体" w:eastAsia="宋体" w:cs="宋体"/>
                <w:sz w:val="21"/>
                <w:szCs w:val="21"/>
              </w:rPr>
            </w:pPr>
            <w:r>
              <w:rPr>
                <w:rFonts w:hint="eastAsia" w:ascii="宋体" w:hAnsi="宋体" w:eastAsia="宋体" w:cs="宋体"/>
                <w:sz w:val="21"/>
                <w:szCs w:val="21"/>
              </w:rPr>
              <w:t>1.敷设质量达到以下要求：</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⑴架空线悬挂高度：自轨面算起，架空线悬挂高度在行人的巷道内、车场内以及人行道与运输巷道交叉的地方不小于2m；在不行人的巷道内不小于1.9m；在井底车场内，从井底到乘车场不小于2.2m；在地面或工业场地内，不与其他道路交叉的地方不小于2.2m；</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⑵架空线与巷道顶或棚梁之间的距离不小于0.2m；悬吊绝缘子距架空线的距离，每侧不超过0.25m；</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⑶架空线悬挂点的间距，直线段内不超过5m，曲线段内符合规定；</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⑷架空线直流电压不超过600V；</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⑸两平行钢轨之间每隔50m连接1根断面不小于50mm2的铜线或者其他具有等效电阻的导线；线路上所有钢轨接缝处，用导线或者采用轨缝焊接工艺加以连接，连接后每个接缝处的电阻符合要求；</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⑹不回电的轨道与架线电机车回电轨道之间，应加以绝缘；第一绝缘点设在2种轨道的连接处，第二绝缘点设在不回电的轨道上，其与第一绝缘点之间的距离应大于1列车的长度；在与架线电机车线路相连通的轨道上有钢丝绳跨越时，钢丝绳不得与轨道相接触；</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⑺绝缘点应经常检查维护，保持可靠绝缘</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2.电机车架空线巷道乘人车场装备有架空线自动停送电开关；</w:t>
            </w:r>
          </w:p>
          <w:p>
            <w:pPr>
              <w:adjustRightInd w:val="0"/>
              <w:snapToGrid w:val="0"/>
              <w:rPr>
                <w:rFonts w:hint="eastAsia" w:ascii="宋体" w:hAnsi="宋体" w:eastAsia="宋体" w:cs="宋体"/>
                <w:kern w:val="0"/>
                <w:sz w:val="21"/>
                <w:szCs w:val="21"/>
                <w:lang w:val="en-US" w:eastAsia="zh-CN" w:bidi="ar-SA"/>
              </w:rPr>
            </w:pPr>
            <w:r>
              <w:rPr>
                <w:rFonts w:hint="eastAsia" w:ascii="宋体" w:hAnsi="宋体" w:eastAsia="宋体" w:cs="宋体"/>
                <w:sz w:val="21"/>
                <w:szCs w:val="21"/>
              </w:rPr>
              <w:t>3.井下不得使用钢铝线</w:t>
            </w:r>
          </w:p>
        </w:tc>
        <w:tc>
          <w:tcPr>
            <w:tcW w:w="2075" w:type="dxa"/>
            <w:tcBorders>
              <w:tl2br w:val="nil"/>
              <w:tr2bl w:val="nil"/>
            </w:tcBorders>
            <w:vAlign w:val="center"/>
          </w:tcPr>
          <w:p>
            <w:pPr>
              <w:widowControl/>
              <w:adjustRightInd w:val="0"/>
              <w:snapToGrid w:val="0"/>
              <w:spacing w:line="280" w:lineRule="exact"/>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要求未变，进行了提炼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60" w:hRule="atLeast"/>
          <w:jc w:val="center"/>
        </w:trPr>
        <w:tc>
          <w:tcPr>
            <w:tcW w:w="1127" w:type="dxa"/>
            <w:vMerge w:val="continue"/>
            <w:tcBorders>
              <w:tl2br w:val="nil"/>
              <w:tr2bl w:val="nil"/>
            </w:tcBorders>
            <w:vAlign w:val="center"/>
          </w:tcPr>
          <w:p>
            <w:pPr>
              <w:widowControl/>
              <w:jc w:val="left"/>
              <w:rPr>
                <w:rFonts w:hint="eastAsia" w:ascii="宋体" w:hAnsi="宋体" w:eastAsia="宋体" w:cs="宋体"/>
                <w:kern w:val="0"/>
                <w:sz w:val="21"/>
                <w:szCs w:val="21"/>
              </w:rPr>
            </w:pPr>
          </w:p>
        </w:tc>
        <w:tc>
          <w:tcPr>
            <w:tcW w:w="1128" w:type="dxa"/>
            <w:tcBorders>
              <w:tl2br w:val="nil"/>
              <w:tr2bl w:val="nil"/>
            </w:tcBorders>
            <w:vAlign w:val="center"/>
          </w:tcPr>
          <w:p>
            <w:pPr>
              <w:widowControl/>
              <w:adjustRightInd w:val="0"/>
              <w:snapToGrid w:val="0"/>
              <w:spacing w:line="2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运输方式改善</w:t>
            </w:r>
          </w:p>
        </w:tc>
        <w:tc>
          <w:tcPr>
            <w:tcW w:w="4442" w:type="dxa"/>
            <w:tcBorders>
              <w:tl2br w:val="nil"/>
              <w:tr2bl w:val="nil"/>
            </w:tcBorders>
            <w:vAlign w:val="center"/>
          </w:tcPr>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1.长度超过1.5km的主要运输平巷或者高差超过50m的人员上下的主要倾斜井巷，应采用机械方式运送人员；</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2.水平单翼距离超过4000m时，有缩短人员和物料运输时间的有效措施；</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3.采用先进的运输方式替代多级、多段运输，矿井实现辅助运输连续化；</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4.矿井逐步取消调度绞车</w:t>
            </w:r>
          </w:p>
        </w:tc>
        <w:tc>
          <w:tcPr>
            <w:tcW w:w="5144" w:type="dxa"/>
            <w:tcBorders>
              <w:tl2br w:val="nil"/>
              <w:tr2bl w:val="nil"/>
            </w:tcBorders>
            <w:shd w:val="clear" w:color="auto" w:fill="auto"/>
            <w:vAlign w:val="center"/>
          </w:tcPr>
          <w:p>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eastAsia="宋体" w:cs="宋体"/>
                <w:sz w:val="21"/>
                <w:szCs w:val="21"/>
              </w:rPr>
              <w:t>1.长度超过1.5km的主要运输平巷或者高差超过50m的人员上下的主要倾斜井巷，应采用机械方式运送人员</w:t>
            </w:r>
            <w:r>
              <w:rPr>
                <w:rFonts w:hint="eastAsia" w:ascii="宋体" w:hAnsi="宋体" w:eastAsia="宋体" w:cs="宋体"/>
                <w:kern w:val="0"/>
                <w:sz w:val="21"/>
                <w:szCs w:val="21"/>
              </w:rPr>
              <w:t>2.水平单翼距离超过4000m时，有缩短人员和物料运输距离的有效措施；</w:t>
            </w:r>
          </w:p>
          <w:p>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eastAsia="宋体" w:cs="宋体"/>
                <w:spacing w:val="-4"/>
                <w:kern w:val="0"/>
                <w:sz w:val="21"/>
                <w:szCs w:val="21"/>
              </w:rPr>
              <w:t>采用先进的运输方式替代多级、多段运输；</w:t>
            </w:r>
          </w:p>
          <w:p>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4.矿井逐步取消调度绞车；</w:t>
            </w:r>
          </w:p>
          <w:p>
            <w:pPr>
              <w:widowControl/>
              <w:adjustRightInd w:val="0"/>
              <w:snapToGrid w:val="0"/>
              <w:spacing w:line="280" w:lineRule="exact"/>
              <w:jc w:val="left"/>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5.矿井实现辅助运输连续化</w:t>
            </w:r>
          </w:p>
        </w:tc>
        <w:tc>
          <w:tcPr>
            <w:tcW w:w="2075" w:type="dxa"/>
            <w:tcBorders>
              <w:tl2br w:val="nil"/>
              <w:tr2bl w:val="nil"/>
            </w:tcBorders>
            <w:shd w:val="clear" w:color="auto" w:fill="auto"/>
            <w:vAlign w:val="center"/>
          </w:tcPr>
          <w:p>
            <w:pPr>
              <w:widowControl/>
              <w:adjustRightInd w:val="0"/>
              <w:snapToGrid w:val="0"/>
              <w:spacing w:line="280" w:lineRule="exact"/>
              <w:rPr>
                <w:rFonts w:hint="eastAsia" w:ascii="宋体" w:hAnsi="宋体" w:eastAsia="宋体" w:cs="宋体"/>
                <w:strike w:val="0"/>
                <w:dstrike w:val="0"/>
                <w:color w:val="auto"/>
                <w:kern w:val="0"/>
                <w:sz w:val="21"/>
                <w:szCs w:val="21"/>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jc w:val="center"/>
        </w:trPr>
        <w:tc>
          <w:tcPr>
            <w:tcW w:w="1127" w:type="dxa"/>
            <w:vMerge w:val="restart"/>
            <w:tcBorders>
              <w:tl2br w:val="nil"/>
              <w:tr2bl w:val="nil"/>
            </w:tcBorders>
            <w:textDirection w:val="tbRlV"/>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四、运输设备（32分）</w:t>
            </w:r>
          </w:p>
        </w:tc>
        <w:tc>
          <w:tcPr>
            <w:tcW w:w="1128" w:type="dxa"/>
            <w:tcBorders>
              <w:tl2br w:val="nil"/>
              <w:tr2bl w:val="nil"/>
            </w:tcBorders>
            <w:vAlign w:val="center"/>
          </w:tcPr>
          <w:p>
            <w:pPr>
              <w:widowControl/>
              <w:adjustRightInd w:val="0"/>
              <w:snapToGrid w:val="0"/>
              <w:spacing w:line="2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斜井人车</w:t>
            </w:r>
          </w:p>
        </w:tc>
        <w:tc>
          <w:tcPr>
            <w:tcW w:w="4442" w:type="dxa"/>
            <w:tcBorders>
              <w:tl2br w:val="nil"/>
              <w:tr2bl w:val="nil"/>
            </w:tcBorders>
            <w:vAlign w:val="center"/>
          </w:tcPr>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1.制动装置灵敏、可靠；</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2.有跟车工，有在运行途中任意点都能发送紧急停车信号的装置</w:t>
            </w:r>
          </w:p>
        </w:tc>
        <w:tc>
          <w:tcPr>
            <w:tcW w:w="5144" w:type="dxa"/>
            <w:tcBorders>
              <w:tl2br w:val="nil"/>
              <w:tr2bl w:val="nil"/>
            </w:tcBorders>
            <w:shd w:val="clear" w:color="auto" w:fill="auto"/>
            <w:vAlign w:val="center"/>
          </w:tcPr>
          <w:p>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1.制动装置齐全、灵敏、可靠；</w:t>
            </w:r>
          </w:p>
          <w:p>
            <w:pPr>
              <w:adjustRightInd w:val="0"/>
              <w:snapToGrid w:val="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2.装备有跟车工在运行途中任何地点都能发送紧急停车信号的装置，并具有通话和信号发送、接收功能，灵敏可靠</w:t>
            </w:r>
          </w:p>
        </w:tc>
        <w:tc>
          <w:tcPr>
            <w:tcW w:w="2075" w:type="dxa"/>
            <w:tcBorders>
              <w:tl2br w:val="nil"/>
              <w:tr2bl w:val="nil"/>
            </w:tcBorders>
            <w:vAlign w:val="center"/>
          </w:tcPr>
          <w:p>
            <w:pPr>
              <w:widowControl/>
              <w:adjustRightInd w:val="0"/>
              <w:snapToGrid w:val="0"/>
              <w:spacing w:line="280" w:lineRule="exact"/>
              <w:rPr>
                <w:rFonts w:hint="eastAsia" w:ascii="宋体" w:hAnsi="宋体" w:eastAsia="宋体" w:cs="宋体"/>
                <w:color w:val="auto"/>
                <w:kern w:val="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06" w:hRule="atLeast"/>
          <w:jc w:val="center"/>
        </w:trPr>
        <w:tc>
          <w:tcPr>
            <w:tcW w:w="1127" w:type="dxa"/>
            <w:vMerge w:val="continue"/>
            <w:tcBorders>
              <w:tl2br w:val="nil"/>
              <w:tr2bl w:val="nil"/>
            </w:tcBorders>
            <w:vAlign w:val="center"/>
          </w:tcPr>
          <w:p>
            <w:pPr>
              <w:widowControl/>
              <w:jc w:val="left"/>
              <w:rPr>
                <w:rFonts w:hint="eastAsia" w:ascii="宋体" w:hAnsi="宋体" w:eastAsia="宋体" w:cs="宋体"/>
                <w:kern w:val="0"/>
                <w:sz w:val="21"/>
                <w:szCs w:val="21"/>
              </w:rPr>
            </w:pPr>
          </w:p>
        </w:tc>
        <w:tc>
          <w:tcPr>
            <w:tcW w:w="1128" w:type="dxa"/>
            <w:tcBorders>
              <w:tl2br w:val="nil"/>
              <w:tr2bl w:val="nil"/>
            </w:tcBorders>
            <w:vAlign w:val="center"/>
          </w:tcPr>
          <w:p>
            <w:pPr>
              <w:widowControl/>
              <w:adjustRightInd w:val="0"/>
              <w:snapToGrid w:val="0"/>
              <w:spacing w:line="2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架空乘人装置</w:t>
            </w:r>
          </w:p>
        </w:tc>
        <w:tc>
          <w:tcPr>
            <w:tcW w:w="4442" w:type="dxa"/>
            <w:tcBorders>
              <w:tl2br w:val="nil"/>
              <w:tr2bl w:val="nil"/>
            </w:tcBorders>
            <w:vAlign w:val="center"/>
          </w:tcPr>
          <w:p>
            <w:pPr>
              <w:widowControl/>
              <w:adjustRightInd w:val="0"/>
              <w:snapToGrid w:val="0"/>
              <w:spacing w:line="28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1.架空乘人装置正常运行；</w:t>
            </w:r>
          </w:p>
          <w:p>
            <w:pPr>
              <w:widowControl/>
              <w:adjustRightInd w:val="0"/>
              <w:snapToGrid w:val="0"/>
              <w:spacing w:line="28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2.吊椅中心至巷道一侧突出部分的距离、钢丝绳间距、乘人吊椅距底板的高度、乘坐间距符合规定；乘人站设上下人平台，平台处钢丝绳距巷道壁≥1m，路面进行防滑处理；</w:t>
            </w:r>
          </w:p>
          <w:p>
            <w:pPr>
              <w:widowControl/>
              <w:adjustRightInd w:val="0"/>
              <w:snapToGrid w:val="0"/>
              <w:spacing w:line="28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3.运行坡度、运行速度符合《煤矿安全规程》规定；</w:t>
            </w:r>
          </w:p>
          <w:p>
            <w:pPr>
              <w:widowControl/>
              <w:adjustRightInd w:val="0"/>
              <w:snapToGrid w:val="0"/>
              <w:spacing w:line="280" w:lineRule="exact"/>
              <w:rPr>
                <w:rFonts w:hint="eastAsia" w:ascii="宋体" w:hAnsi="宋体" w:eastAsia="宋体" w:cs="宋体"/>
                <w:color w:val="0000FF"/>
                <w:sz w:val="21"/>
                <w:szCs w:val="21"/>
                <w:lang w:val="en-US" w:eastAsia="zh-CN"/>
              </w:rPr>
            </w:pPr>
            <w:r>
              <w:rPr>
                <w:rFonts w:hint="eastAsia" w:ascii="宋体" w:hAnsi="宋体" w:eastAsia="宋体" w:cs="宋体"/>
                <w:color w:val="auto"/>
                <w:kern w:val="0"/>
                <w:sz w:val="21"/>
                <w:szCs w:val="21"/>
              </w:rPr>
              <w:t>4.驱动系统设置失</w:t>
            </w:r>
            <w:r>
              <w:rPr>
                <w:rFonts w:hint="eastAsia" w:ascii="宋体" w:hAnsi="宋体" w:eastAsia="宋体" w:cs="宋体"/>
                <w:kern w:val="0"/>
                <w:sz w:val="21"/>
                <w:szCs w:val="21"/>
              </w:rPr>
              <w:t>效安全型工作制动装置和安全制动装置，安全制动装置必须设置在驱动轮上，</w:t>
            </w:r>
            <w:r>
              <w:rPr>
                <w:rFonts w:hint="eastAsia" w:ascii="宋体" w:hAnsi="宋体" w:eastAsia="宋体" w:cs="宋体"/>
                <w:bCs/>
                <w:sz w:val="21"/>
                <w:szCs w:val="21"/>
              </w:rPr>
              <w:t>且有效</w:t>
            </w:r>
            <w:r>
              <w:rPr>
                <w:rFonts w:hint="eastAsia" w:ascii="宋体" w:hAnsi="宋体" w:eastAsia="宋体" w:cs="宋体"/>
                <w:kern w:val="0"/>
                <w:sz w:val="21"/>
                <w:szCs w:val="21"/>
              </w:rPr>
              <w:t>；</w:t>
            </w:r>
            <w:r>
              <w:rPr>
                <w:rFonts w:hint="eastAsia" w:ascii="宋体" w:hAnsi="宋体" w:eastAsia="宋体" w:cs="宋体"/>
                <w:color w:val="0000FF"/>
                <w:sz w:val="21"/>
                <w:szCs w:val="21"/>
                <w:lang w:val="en-US" w:eastAsia="zh-CN"/>
              </w:rPr>
              <w:t>每周至少检查一次闸瓦（片）磨损情况、闸瓦（片）与闸盘间隙及接触面积，符合相关标准规定；</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5.有超速、打滑、全程急停、防脱绳、变坡点防掉绳、张紧力下降、越位等保护装置；</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6.沿线设有延时启动声光预警信号；</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7.上下人地点应装置语音提醒装置；装备通信信号装置，具备通话和信号发送接收功能，</w:t>
            </w:r>
            <w:r>
              <w:rPr>
                <w:rFonts w:hint="eastAsia" w:ascii="宋体" w:hAnsi="宋体" w:eastAsia="宋体" w:cs="宋体"/>
                <w:color w:val="0000FF"/>
                <w:sz w:val="21"/>
                <w:szCs w:val="21"/>
                <w:lang w:val="en-US" w:eastAsia="zh-CN"/>
              </w:rPr>
              <w:t>有视频监视</w:t>
            </w:r>
            <w:r>
              <w:rPr>
                <w:rFonts w:hint="eastAsia" w:ascii="宋体" w:hAnsi="宋体" w:eastAsia="宋体" w:cs="宋体"/>
                <w:color w:val="0000FF"/>
                <w:kern w:val="0"/>
                <w:sz w:val="21"/>
                <w:szCs w:val="21"/>
              </w:rPr>
              <w:t>；</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8.非固定抱索架空乘人装置有乘人间距提示和保护；</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9.减速器有油温检测，油温异常时能发出报警信号；</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10. 驱动轮和尾轮有断轴保护措施；</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11.钢丝绳安全系数、插接长度、断丝面积、直径减小量、锈蚀程度符合规定；</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12.倾斜巷道架空乘人装置：与轨道提升系统同巷布置时，设置电气闭锁；与带式输送机同巷布置时，隔离措施可靠；</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13.巷道应当设置照明</w:t>
            </w:r>
          </w:p>
        </w:tc>
        <w:tc>
          <w:tcPr>
            <w:tcW w:w="5144" w:type="dxa"/>
            <w:tcBorders>
              <w:tl2br w:val="nil"/>
              <w:tr2bl w:val="nil"/>
            </w:tcBorders>
            <w:shd w:val="clear" w:color="auto" w:fill="auto"/>
            <w:vAlign w:val="center"/>
          </w:tcPr>
          <w:p>
            <w:pPr>
              <w:adjustRightInd w:val="0"/>
              <w:snapToGrid w:val="0"/>
              <w:rPr>
                <w:rFonts w:hint="eastAsia" w:ascii="宋体" w:hAnsi="宋体" w:eastAsia="宋体" w:cs="宋体"/>
                <w:sz w:val="21"/>
                <w:szCs w:val="21"/>
              </w:rPr>
            </w:pPr>
            <w:r>
              <w:rPr>
                <w:rFonts w:hint="eastAsia" w:ascii="宋体" w:hAnsi="宋体" w:eastAsia="宋体" w:cs="宋体"/>
                <w:sz w:val="21"/>
                <w:szCs w:val="21"/>
              </w:rPr>
              <w:t>1.架空乘人装置正常运行；</w:t>
            </w:r>
            <w:r>
              <w:rPr>
                <w:rFonts w:hint="eastAsia" w:ascii="宋体" w:hAnsi="宋体" w:eastAsia="宋体" w:cs="宋体"/>
                <w:color w:val="FF0000"/>
                <w:sz w:val="21"/>
                <w:szCs w:val="21"/>
              </w:rPr>
              <w:t>每日至少对整个装置进行1次检查；</w:t>
            </w:r>
          </w:p>
          <w:p>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color w:val="FF0000"/>
                <w:kern w:val="0"/>
                <w:sz w:val="21"/>
                <w:szCs w:val="21"/>
              </w:rPr>
              <w:t>双向同时运送人员时钢丝绳间距不得小于0.8m，固定抱索器的钢丝绳间距不得小于1.0m；乘人吊椅距底板的高度不得小于0.2m，在上下人站处不大于0.5m；乘坐间距不应小于牵引钢丝绳5s的运行距离，且不得小于6m；各乘人站设上下人平台，平台处钢丝绳距巷道壁不小于1m，路面应当进行防滑处理，上、下人员地点前方应装置人员到达语音提醒装置；</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3.运行坡度、运行速度不得超过《煤矿安全规程》规定；</w:t>
            </w:r>
          </w:p>
          <w:p>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4.驱动系统必须设置失效安全型工作制动装置和安全制动装置，安全制动装置必须设置在驱动轮上；</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5.装设超速、打滑、全程急停、防脱绳、变坡点防掉绳、张紧力下降、越位等保护装置，</w:t>
            </w:r>
            <w:r>
              <w:rPr>
                <w:rFonts w:hint="eastAsia" w:ascii="宋体" w:hAnsi="宋体" w:eastAsia="宋体" w:cs="宋体"/>
                <w:color w:val="FF0000"/>
                <w:kern w:val="0"/>
                <w:sz w:val="21"/>
                <w:szCs w:val="21"/>
              </w:rPr>
              <w:t>安全保护装置发生保护动作后，需经人工复位，方可重新启动；</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6.沿线设有延时启动声光预警信号；</w:t>
            </w:r>
          </w:p>
          <w:p>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7.各上下人地点装备通信信号装置，具备通话和信号发送接收功能；</w:t>
            </w:r>
          </w:p>
          <w:p>
            <w:pPr>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8.除采用固定抱索器的架空乘人装置外，应当设置乘人间距提示或者保护装置；</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9.减速器应设置油温检测装置，当油温异常时能发出报警信号；</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10.有断轴保护措施；</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11.钢丝绳安全系数、插接长度、断丝面积、直径减小量、锈蚀程度符合《煤矿安全规程》规定；</w:t>
            </w:r>
          </w:p>
          <w:p>
            <w:pPr>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12.倾斜巷道中架空乘人装置与轨道提升系统同巷布置时，必须设置电气闭锁，</w:t>
            </w:r>
            <w:r>
              <w:rPr>
                <w:rFonts w:hint="eastAsia" w:ascii="宋体" w:hAnsi="宋体" w:eastAsia="宋体" w:cs="宋体"/>
                <w:color w:val="FF0000"/>
                <w:kern w:val="0"/>
                <w:sz w:val="21"/>
                <w:szCs w:val="21"/>
              </w:rPr>
              <w:t>2种设备不得同时运行；</w:t>
            </w:r>
            <w:r>
              <w:rPr>
                <w:rFonts w:hint="eastAsia" w:ascii="宋体" w:hAnsi="宋体" w:eastAsia="宋体" w:cs="宋体"/>
                <w:kern w:val="0"/>
                <w:sz w:val="21"/>
                <w:szCs w:val="21"/>
              </w:rPr>
              <w:t>倾斜巷道中架空乘人装置与带式输送机同巷布置时，必须采取可靠的隔离措施；</w:t>
            </w:r>
          </w:p>
          <w:p>
            <w:pPr>
              <w:adjustRightInd w:val="0"/>
              <w:snapToGrid w:val="0"/>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rPr>
              <w:t>13.巷道应当设置照明</w:t>
            </w:r>
          </w:p>
        </w:tc>
        <w:tc>
          <w:tcPr>
            <w:tcW w:w="2075" w:type="dxa"/>
            <w:tcBorders>
              <w:tl2br w:val="nil"/>
              <w:tr2bl w:val="nil"/>
            </w:tcBorders>
            <w:shd w:val="clear" w:color="auto" w:fill="auto"/>
            <w:vAlign w:val="center"/>
          </w:tcPr>
          <w:p>
            <w:pPr>
              <w:widowControl/>
              <w:adjustRightInd w:val="0"/>
              <w:snapToGrid w:val="0"/>
              <w:spacing w:line="28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1.删除：</w:t>
            </w:r>
          </w:p>
          <w:p>
            <w:pPr>
              <w:widowControl/>
              <w:adjustRightInd w:val="0"/>
              <w:snapToGrid w:val="0"/>
              <w:spacing w:line="280" w:lineRule="exact"/>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每日至少对整个装置进行1次检查；</w:t>
            </w:r>
            <w:r>
              <w:rPr>
                <w:rFonts w:hint="eastAsia" w:ascii="宋体" w:hAnsi="宋体" w:eastAsia="宋体" w:cs="宋体"/>
                <w:color w:val="auto"/>
                <w:sz w:val="21"/>
                <w:szCs w:val="21"/>
                <w:lang w:val="en-US" w:eastAsia="zh-CN"/>
              </w:rPr>
              <w:t>（2）</w:t>
            </w:r>
            <w:r>
              <w:rPr>
                <w:rFonts w:hint="eastAsia" w:ascii="宋体" w:hAnsi="宋体" w:eastAsia="宋体" w:cs="宋体"/>
                <w:color w:val="auto"/>
                <w:kern w:val="0"/>
                <w:sz w:val="21"/>
                <w:szCs w:val="21"/>
              </w:rPr>
              <w:t>安全保护装置发生保护动作后，需经人工复位，</w:t>
            </w:r>
            <w:r>
              <w:rPr>
                <w:rFonts w:hint="eastAsia" w:ascii="宋体" w:hAnsi="宋体" w:eastAsia="宋体" w:cs="宋体"/>
                <w:color w:val="auto"/>
                <w:sz w:val="21"/>
                <w:szCs w:val="21"/>
              </w:rPr>
              <w:t>方可重新启动；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倾斜巷道架空乘人装置：与轨道提升系统同巷布置时</w:t>
            </w:r>
            <w:r>
              <w:rPr>
                <w:rFonts w:hint="eastAsia" w:ascii="宋体" w:hAnsi="宋体" w:eastAsia="宋体" w:cs="宋体"/>
                <w:color w:val="auto"/>
                <w:sz w:val="21"/>
                <w:szCs w:val="21"/>
                <w:lang w:val="en-US" w:eastAsia="zh-CN"/>
              </w:rPr>
              <w:t>要求中删除了“</w:t>
            </w:r>
            <w:r>
              <w:rPr>
                <w:rFonts w:hint="eastAsia" w:ascii="宋体" w:hAnsi="宋体" w:eastAsia="宋体" w:cs="宋体"/>
                <w:color w:val="auto"/>
                <w:sz w:val="21"/>
                <w:szCs w:val="21"/>
              </w:rPr>
              <w:t>2种设备不得同时运行</w:t>
            </w:r>
            <w:r>
              <w:rPr>
                <w:rFonts w:hint="eastAsia" w:ascii="宋体" w:hAnsi="宋体" w:eastAsia="宋体" w:cs="宋体"/>
                <w:color w:val="auto"/>
                <w:sz w:val="21"/>
                <w:szCs w:val="21"/>
                <w:lang w:val="en-US" w:eastAsia="zh-CN"/>
              </w:rPr>
              <w:t>”。</w:t>
            </w:r>
          </w:p>
          <w:p>
            <w:pPr>
              <w:widowControl/>
              <w:adjustRightInd w:val="0"/>
              <w:snapToGrid w:val="0"/>
              <w:spacing w:line="280" w:lineRule="exac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2.对架空乘人装置安全间隙</w:t>
            </w:r>
            <w:r>
              <w:rPr>
                <w:rFonts w:hint="eastAsia" w:ascii="宋体" w:hAnsi="宋体" w:eastAsia="宋体" w:cs="宋体"/>
                <w:color w:val="auto"/>
                <w:sz w:val="21"/>
                <w:szCs w:val="21"/>
                <w:lang w:val="en-US" w:eastAsia="zh-CN"/>
              </w:rPr>
              <w:t>，进行了提炼，要求未变。</w:t>
            </w:r>
          </w:p>
          <w:p>
            <w:pPr>
              <w:widowControl/>
              <w:adjustRightInd w:val="0"/>
              <w:snapToGrid w:val="0"/>
              <w:spacing w:line="28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3.增加：</w:t>
            </w:r>
          </w:p>
          <w:p>
            <w:pPr>
              <w:widowControl/>
              <w:adjustRightInd w:val="0"/>
              <w:snapToGrid w:val="0"/>
              <w:spacing w:line="28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（1）有视频监视。（2）每周至少检查一次闸瓦（片）磨损情况、闸瓦（片）与闸盘间隙及接触面积，符合相关标准规定；</w:t>
            </w:r>
          </w:p>
          <w:p>
            <w:pPr>
              <w:widowControl/>
              <w:adjustRightInd w:val="0"/>
              <w:snapToGrid w:val="0"/>
              <w:spacing w:line="280" w:lineRule="exact"/>
              <w:rPr>
                <w:rFonts w:hint="eastAsia" w:ascii="宋体" w:hAnsi="宋体" w:eastAsia="宋体" w:cs="宋体"/>
                <w:color w:val="auto"/>
                <w:kern w:val="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77" w:hRule="atLeast"/>
          <w:jc w:val="center"/>
        </w:trPr>
        <w:tc>
          <w:tcPr>
            <w:tcW w:w="1127" w:type="dxa"/>
            <w:vMerge w:val="continue"/>
            <w:tcBorders>
              <w:tl2br w:val="nil"/>
              <w:tr2bl w:val="nil"/>
            </w:tcBorders>
            <w:vAlign w:val="center"/>
          </w:tcPr>
          <w:p>
            <w:pPr>
              <w:widowControl/>
              <w:jc w:val="left"/>
              <w:rPr>
                <w:rFonts w:hint="eastAsia" w:ascii="宋体" w:hAnsi="宋体" w:eastAsia="宋体" w:cs="宋体"/>
                <w:kern w:val="0"/>
                <w:sz w:val="21"/>
                <w:szCs w:val="21"/>
              </w:rPr>
            </w:pPr>
          </w:p>
        </w:tc>
        <w:tc>
          <w:tcPr>
            <w:tcW w:w="1128" w:type="dxa"/>
            <w:tcBorders>
              <w:tl2br w:val="nil"/>
              <w:tr2bl w:val="nil"/>
            </w:tcBorders>
            <w:vAlign w:val="center"/>
          </w:tcPr>
          <w:p>
            <w:pPr>
              <w:widowControl/>
              <w:adjustRightInd w:val="0"/>
              <w:snapToGrid w:val="0"/>
              <w:spacing w:line="2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机车、平巷人车、矿车、专用车辆</w:t>
            </w:r>
          </w:p>
        </w:tc>
        <w:tc>
          <w:tcPr>
            <w:tcW w:w="4442" w:type="dxa"/>
            <w:tcBorders>
              <w:tl2br w:val="nil"/>
              <w:tr2bl w:val="nil"/>
            </w:tcBorders>
            <w:vAlign w:val="center"/>
          </w:tcPr>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1.制动装置齐全、可靠；</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2.列车或者单独机车前有照明、后有红灯；</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3.警铃、连接装置和撒砂装置完好；</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4.同水平行驶5台及以上机车时，有机车运输集中信号控制系统及机车通信设备；同水平行驶7台及以上机车时，有机车运输监控系统；</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5.新建大型及以上矿井的井底车场和运输大巷，有机车运输监控系统或者运输集中信号控制系统，</w:t>
            </w:r>
            <w:r>
              <w:rPr>
                <w:rFonts w:hint="eastAsia" w:ascii="宋体" w:hAnsi="宋体" w:eastAsia="宋体" w:cs="宋体"/>
                <w:sz w:val="21"/>
                <w:szCs w:val="21"/>
              </w:rPr>
              <w:t>机车应具有定位装置</w:t>
            </w:r>
            <w:r>
              <w:rPr>
                <w:rFonts w:hint="eastAsia" w:ascii="宋体" w:hAnsi="宋体" w:eastAsia="宋体" w:cs="宋体"/>
                <w:kern w:val="0"/>
                <w:sz w:val="21"/>
                <w:szCs w:val="21"/>
              </w:rPr>
              <w:t>；</w:t>
            </w:r>
          </w:p>
          <w:p>
            <w:pPr>
              <w:widowControl/>
              <w:adjustRightInd w:val="0"/>
              <w:snapToGrid w:val="0"/>
              <w:spacing w:line="280" w:lineRule="exact"/>
              <w:rPr>
                <w:rFonts w:hint="eastAsia" w:ascii="宋体" w:hAnsi="宋体" w:eastAsia="宋体" w:cs="宋体"/>
                <w:color w:val="0070C0"/>
                <w:kern w:val="0"/>
                <w:sz w:val="21"/>
                <w:szCs w:val="21"/>
              </w:rPr>
            </w:pPr>
            <w:r>
              <w:rPr>
                <w:rFonts w:hint="eastAsia" w:ascii="宋体" w:hAnsi="宋体" w:eastAsia="宋体" w:cs="宋体"/>
                <w:color w:val="0070C0"/>
                <w:kern w:val="0"/>
                <w:sz w:val="21"/>
                <w:szCs w:val="21"/>
              </w:rPr>
              <w:t>6.防爆机车有甲烷断电仪或者便携式甲烷检测报警仪；</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7.防爆柴油机动力机车有自动保护装置和防灭火装置；</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8.机车、平巷人车、矿车、专用车辆完好</w:t>
            </w:r>
          </w:p>
        </w:tc>
        <w:tc>
          <w:tcPr>
            <w:tcW w:w="5144" w:type="dxa"/>
            <w:tcBorders>
              <w:tl2br w:val="nil"/>
              <w:tr2bl w:val="nil"/>
            </w:tcBorders>
            <w:shd w:val="clear" w:color="auto" w:fill="auto"/>
            <w:vAlign w:val="center"/>
          </w:tcPr>
          <w:p>
            <w:pPr>
              <w:adjustRightInd w:val="0"/>
              <w:snapToGrid w:val="0"/>
              <w:rPr>
                <w:rFonts w:hint="eastAsia" w:ascii="宋体" w:hAnsi="宋体" w:eastAsia="宋体" w:cs="宋体"/>
                <w:sz w:val="21"/>
                <w:szCs w:val="21"/>
              </w:rPr>
            </w:pPr>
            <w:r>
              <w:rPr>
                <w:rFonts w:hint="eastAsia" w:ascii="宋体" w:hAnsi="宋体" w:eastAsia="宋体" w:cs="宋体"/>
                <w:sz w:val="21"/>
                <w:szCs w:val="21"/>
              </w:rPr>
              <w:t>1.制动装置符合规定，齐全、可靠；</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2.列车或者单独机车前有照明、后有红灯；</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3.警铃(喇叭)、连接装置和撒砂装置完好；</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4.同一水平行驶5台及以上机车时，装备机车运输集中信号控制系统及机车通信设备；同一水平行驶7台及以上机车时，装备机车运输监控系统；</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5.2016年10月1日后投产的大型矿井的井底车场和运输大巷，装备机车运输监控系统或者运输集中信号控制系统；</w:t>
            </w:r>
          </w:p>
          <w:p>
            <w:pPr>
              <w:adjustRightInd w:val="0"/>
              <w:snapToGrid w:val="0"/>
              <w:rPr>
                <w:rFonts w:hint="eastAsia" w:ascii="宋体" w:hAnsi="宋体" w:eastAsia="宋体" w:cs="宋体"/>
                <w:color w:val="FF0000"/>
                <w:sz w:val="21"/>
                <w:szCs w:val="21"/>
              </w:rPr>
            </w:pPr>
            <w:r>
              <w:rPr>
                <w:rFonts w:hint="eastAsia" w:ascii="宋体" w:hAnsi="宋体" w:eastAsia="宋体" w:cs="宋体"/>
                <w:color w:val="FF0000"/>
                <w:sz w:val="21"/>
                <w:szCs w:val="21"/>
              </w:rPr>
              <w:t>6.防爆蓄电池机车或者防爆柴油机动力机车装备甲烷断电仪或者便携式甲烷检测报警仪；</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7.防爆柴油机动力机车装备自动保护装置和防灭火装置；</w:t>
            </w:r>
          </w:p>
          <w:p>
            <w:pPr>
              <w:widowControl/>
              <w:adjustRightInd w:val="0"/>
              <w:snapToGrid w:val="0"/>
              <w:spacing w:line="2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rPr>
              <w:t>8.机车、平巷人车、矿车、专用车辆完好</w:t>
            </w:r>
          </w:p>
        </w:tc>
        <w:tc>
          <w:tcPr>
            <w:tcW w:w="2075" w:type="dxa"/>
            <w:tcBorders>
              <w:tl2br w:val="nil"/>
              <w:tr2bl w:val="nil"/>
            </w:tcBorders>
            <w:vAlign w:val="center"/>
          </w:tcPr>
          <w:p>
            <w:pPr>
              <w:widowControl/>
              <w:adjustRightInd w:val="0"/>
              <w:snapToGrid w:val="0"/>
              <w:spacing w:line="280" w:lineRule="exact"/>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要求未变，进行了提炼。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865" w:hRule="atLeast"/>
          <w:jc w:val="center"/>
        </w:trPr>
        <w:tc>
          <w:tcPr>
            <w:tcW w:w="1127" w:type="dxa"/>
            <w:vMerge w:val="continue"/>
            <w:tcBorders>
              <w:tl2br w:val="nil"/>
              <w:tr2bl w:val="nil"/>
            </w:tcBorders>
            <w:vAlign w:val="center"/>
          </w:tcPr>
          <w:p>
            <w:pPr>
              <w:widowControl/>
              <w:jc w:val="left"/>
              <w:rPr>
                <w:rFonts w:hint="eastAsia" w:ascii="宋体" w:hAnsi="宋体" w:eastAsia="宋体" w:cs="宋体"/>
                <w:kern w:val="0"/>
                <w:sz w:val="21"/>
                <w:szCs w:val="21"/>
              </w:rPr>
            </w:pPr>
          </w:p>
        </w:tc>
        <w:tc>
          <w:tcPr>
            <w:tcW w:w="1128" w:type="dxa"/>
            <w:tcBorders>
              <w:tl2br w:val="nil"/>
              <w:tr2bl w:val="nil"/>
            </w:tcBorders>
            <w:vAlign w:val="center"/>
          </w:tcPr>
          <w:p>
            <w:pPr>
              <w:widowControl/>
              <w:adjustRightInd w:val="0"/>
              <w:snapToGrid w:val="0"/>
              <w:spacing w:line="2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调度绞车、卡轨车、无极绳连续牵引车、绳牵引卡轨车、绳牵引单轨吊车</w:t>
            </w:r>
          </w:p>
        </w:tc>
        <w:tc>
          <w:tcPr>
            <w:tcW w:w="4442" w:type="dxa"/>
            <w:tcBorders>
              <w:tl2br w:val="nil"/>
              <w:tr2bl w:val="nil"/>
            </w:tcBorders>
            <w:vAlign w:val="center"/>
          </w:tcPr>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1.调度绞车：</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⑴安装符合设计，固定可靠；</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⑵制动装置齐全、可靠；</w:t>
            </w:r>
          </w:p>
          <w:p>
            <w:pPr>
              <w:widowControl/>
              <w:adjustRightInd w:val="0"/>
              <w:snapToGrid w:val="0"/>
              <w:spacing w:line="280" w:lineRule="exact"/>
              <w:rPr>
                <w:rFonts w:hint="eastAsia" w:ascii="宋体" w:hAnsi="宋体" w:eastAsia="宋体" w:cs="宋体"/>
                <w:sz w:val="21"/>
                <w:szCs w:val="21"/>
              </w:rPr>
            </w:pPr>
            <w:r>
              <w:rPr>
                <w:rFonts w:hint="eastAsia" w:ascii="宋体" w:hAnsi="宋体" w:eastAsia="宋体" w:cs="宋体"/>
                <w:kern w:val="0"/>
                <w:sz w:val="21"/>
                <w:szCs w:val="21"/>
              </w:rPr>
              <w:t>⑶钢丝绳符合规定；排列整齐，绞车有钢丝绳伤人防护措施；</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⑷声光信号齐全、完好；</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2.卡轨车、无极绳连续牵引车、绳牵引卡轨车、绳牵引单轨吊车：</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⑴制动装置齐全、灵敏可靠、使用正常；</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⑵越位、超速、张紧力下降等保护装置可靠；</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⑶有司机与相关岗位工之间的信号联络装置；有跟车工时，设置跟车工与牵引车司机联络的信号和通信装置；</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⑷驱动部、各车场设置行车报警和信号装置；</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⑸钢丝绳符合规定</w:t>
            </w:r>
          </w:p>
        </w:tc>
        <w:tc>
          <w:tcPr>
            <w:tcW w:w="5144" w:type="dxa"/>
            <w:tcBorders>
              <w:tl2br w:val="nil"/>
              <w:tr2bl w:val="nil"/>
            </w:tcBorders>
            <w:shd w:val="clear" w:color="auto" w:fill="auto"/>
            <w:vAlign w:val="center"/>
          </w:tcPr>
          <w:p>
            <w:pPr>
              <w:widowControl/>
              <w:adjustRightInd w:val="0"/>
              <w:snapToGrid w:val="0"/>
              <w:spacing w:line="2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1.调度绞车：</w:t>
            </w:r>
          </w:p>
          <w:p>
            <w:pPr>
              <w:widowControl/>
              <w:adjustRightInd w:val="0"/>
              <w:snapToGrid w:val="0"/>
              <w:spacing w:line="2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（1）安装符合设计要求，固定可靠；</w:t>
            </w:r>
          </w:p>
          <w:p>
            <w:pPr>
              <w:widowControl/>
              <w:adjustRightInd w:val="0"/>
              <w:snapToGrid w:val="0"/>
              <w:spacing w:line="2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（2）制动装置符合规定，齐全、可靠；</w:t>
            </w:r>
          </w:p>
          <w:p>
            <w:pPr>
              <w:widowControl/>
              <w:adjustRightInd w:val="0"/>
              <w:snapToGrid w:val="0"/>
              <w:spacing w:line="2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（3）钢丝绳安全系数、断丝面积、直径减小量、锈蚀程度以及滑头、保险绳插接长度符合《煤矿安全规程》规定；</w:t>
            </w:r>
          </w:p>
          <w:p>
            <w:pPr>
              <w:widowControl/>
              <w:adjustRightInd w:val="0"/>
              <w:snapToGrid w:val="0"/>
              <w:spacing w:line="2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（4）声光信号齐全、完好；</w:t>
            </w:r>
          </w:p>
          <w:p>
            <w:pPr>
              <w:widowControl/>
              <w:adjustRightInd w:val="0"/>
              <w:snapToGrid w:val="0"/>
              <w:spacing w:line="2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（5）滚筒钢丝绳排列整齐，绞车有钢丝绳伤人防护措施</w:t>
            </w:r>
          </w:p>
          <w:p>
            <w:pPr>
              <w:widowControl/>
              <w:adjustRightInd w:val="0"/>
              <w:snapToGrid w:val="0"/>
              <w:spacing w:line="2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2.卡轨车、无极绳连续牵引车、绳牵引卡轨车、绳牵引单轨吊车：</w:t>
            </w:r>
          </w:p>
          <w:p>
            <w:pPr>
              <w:widowControl/>
              <w:adjustRightInd w:val="0"/>
              <w:snapToGrid w:val="0"/>
              <w:spacing w:line="2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（1）驱动部和牵引车制动闸齐全、灵敏可靠、使用正常；</w:t>
            </w:r>
          </w:p>
          <w:p>
            <w:pPr>
              <w:widowControl/>
              <w:adjustRightInd w:val="0"/>
              <w:snapToGrid w:val="0"/>
              <w:spacing w:line="2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（2）装备越位、超速、张紧力下降等安全保护装置，并正常使用；</w:t>
            </w:r>
          </w:p>
          <w:p>
            <w:pPr>
              <w:widowControl/>
              <w:adjustRightInd w:val="0"/>
              <w:snapToGrid w:val="0"/>
              <w:spacing w:line="2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（3）设置司机与相关岗位工之间的信号联络装置；设有跟车工时，应设置跟车工与牵引绞车司机联络用的信号和通信装置；</w:t>
            </w:r>
          </w:p>
          <w:p>
            <w:pPr>
              <w:widowControl/>
              <w:adjustRightInd w:val="0"/>
              <w:snapToGrid w:val="0"/>
              <w:spacing w:line="2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（4）驱动部、各车场设置行车报警和信号装置；</w:t>
            </w:r>
          </w:p>
          <w:p>
            <w:pPr>
              <w:widowControl/>
              <w:adjustRightInd w:val="0"/>
              <w:snapToGrid w:val="0"/>
              <w:spacing w:line="28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（5）钢丝绳安全系数、插接长度、断丝面积、直径减小量、锈蚀程度符合《煤矿安全规程》规定</w:t>
            </w:r>
          </w:p>
        </w:tc>
        <w:tc>
          <w:tcPr>
            <w:tcW w:w="2075" w:type="dxa"/>
            <w:tcBorders>
              <w:tl2br w:val="nil"/>
              <w:tr2bl w:val="nil"/>
            </w:tcBorders>
            <w:vAlign w:val="center"/>
          </w:tcPr>
          <w:p>
            <w:pPr>
              <w:widowControl/>
              <w:adjustRightInd w:val="0"/>
              <w:snapToGrid w:val="0"/>
              <w:spacing w:line="280" w:lineRule="exact"/>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要求未变，进行了提炼。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35" w:hRule="atLeast"/>
          <w:jc w:val="center"/>
        </w:trPr>
        <w:tc>
          <w:tcPr>
            <w:tcW w:w="1127" w:type="dxa"/>
            <w:vMerge w:val="continue"/>
            <w:tcBorders>
              <w:tl2br w:val="nil"/>
              <w:tr2bl w:val="nil"/>
            </w:tcBorders>
            <w:vAlign w:val="center"/>
          </w:tcPr>
          <w:p>
            <w:pPr>
              <w:widowControl/>
              <w:jc w:val="left"/>
              <w:rPr>
                <w:rFonts w:hint="eastAsia" w:ascii="宋体" w:hAnsi="宋体" w:eastAsia="宋体" w:cs="宋体"/>
                <w:kern w:val="0"/>
                <w:sz w:val="21"/>
                <w:szCs w:val="21"/>
              </w:rPr>
            </w:pPr>
          </w:p>
        </w:tc>
        <w:tc>
          <w:tcPr>
            <w:tcW w:w="1128" w:type="dxa"/>
            <w:tcBorders>
              <w:tl2br w:val="nil"/>
              <w:tr2bl w:val="nil"/>
            </w:tcBorders>
            <w:vAlign w:val="center"/>
          </w:tcPr>
          <w:p>
            <w:pPr>
              <w:widowControl/>
              <w:adjustRightInd w:val="0"/>
              <w:snapToGrid w:val="0"/>
              <w:spacing w:line="2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单轨吊车</w:t>
            </w:r>
          </w:p>
        </w:tc>
        <w:tc>
          <w:tcPr>
            <w:tcW w:w="4442" w:type="dxa"/>
            <w:tcBorders>
              <w:tl2br w:val="nil"/>
              <w:tr2bl w:val="nil"/>
            </w:tcBorders>
            <w:vAlign w:val="center"/>
          </w:tcPr>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1.具备2路及以上相互独立回油的制动系统；</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2.设置既可手动又能自动的安全闸，并正常使用；</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3.超速保护、甲烷断电仪、防灭火等装置齐全、可靠；</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4.机车设置车灯和喇叭，列车的尾部设置红灯；</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5.燃油机车</w:t>
            </w:r>
            <w:r>
              <w:rPr>
                <w:rFonts w:hint="eastAsia" w:ascii="宋体" w:hAnsi="宋体" w:eastAsia="宋体" w:cs="宋体"/>
                <w:sz w:val="21"/>
                <w:szCs w:val="21"/>
              </w:rPr>
              <w:t>排气标准</w:t>
            </w:r>
            <w:r>
              <w:rPr>
                <w:rFonts w:hint="eastAsia" w:ascii="宋体" w:hAnsi="宋体" w:eastAsia="宋体" w:cs="宋体"/>
                <w:bCs/>
                <w:sz w:val="21"/>
                <w:szCs w:val="21"/>
              </w:rPr>
              <w:t>符合规定</w:t>
            </w:r>
            <w:r>
              <w:rPr>
                <w:rFonts w:hint="eastAsia" w:ascii="宋体" w:hAnsi="宋体" w:eastAsia="宋体" w:cs="宋体"/>
                <w:sz w:val="21"/>
                <w:szCs w:val="21"/>
              </w:rPr>
              <w:t>，</w:t>
            </w:r>
            <w:r>
              <w:rPr>
                <w:rFonts w:hint="eastAsia" w:ascii="宋体" w:hAnsi="宋体" w:eastAsia="宋体" w:cs="宋体"/>
                <w:kern w:val="0"/>
                <w:sz w:val="21"/>
                <w:szCs w:val="21"/>
              </w:rPr>
              <w:t>排气超温、冷却水超温、水箱水位、润滑油压力等保护装置灵敏、可靠；</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6.蓄电池单轨吊车装备蓄电池容量指示器及漏电监测保护装置；</w:t>
            </w:r>
          </w:p>
          <w:p>
            <w:pPr>
              <w:widowControl/>
              <w:adjustRightInd w:val="0"/>
              <w:snapToGrid w:val="0"/>
              <w:spacing w:line="280" w:lineRule="exact"/>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7.司机应当配备通信装置；</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color w:val="0000FF"/>
                <w:sz w:val="21"/>
                <w:szCs w:val="21"/>
                <w:lang w:val="en-US" w:eastAsia="zh-CN"/>
              </w:rPr>
              <w:t>8.运送人员时，有制动和防护装置</w:t>
            </w:r>
          </w:p>
        </w:tc>
        <w:tc>
          <w:tcPr>
            <w:tcW w:w="5144" w:type="dxa"/>
            <w:tcBorders>
              <w:tl2br w:val="nil"/>
              <w:tr2bl w:val="nil"/>
            </w:tcBorders>
            <w:shd w:val="clear" w:color="auto" w:fill="auto"/>
            <w:vAlign w:val="center"/>
          </w:tcPr>
          <w:p>
            <w:pPr>
              <w:adjustRightInd w:val="0"/>
              <w:snapToGrid w:val="0"/>
              <w:rPr>
                <w:rFonts w:hint="eastAsia" w:ascii="宋体" w:hAnsi="宋体" w:eastAsia="宋体" w:cs="宋体"/>
                <w:sz w:val="21"/>
                <w:szCs w:val="21"/>
              </w:rPr>
            </w:pPr>
            <w:r>
              <w:rPr>
                <w:rFonts w:hint="eastAsia" w:ascii="宋体" w:hAnsi="宋体" w:eastAsia="宋体" w:cs="宋体"/>
                <w:sz w:val="21"/>
                <w:szCs w:val="21"/>
              </w:rPr>
              <w:t xml:space="preserve">1.具备2路以上相对独立回油的制动系统； </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2.设置既可手动又能自动的安全闸，并正常使用；</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3.超速保护、甲烷断电仪、防灭火设备等装置齐全、可靠；</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pacing w:val="-10"/>
                <w:sz w:val="21"/>
                <w:szCs w:val="21"/>
              </w:rPr>
              <w:t>机车设置车灯和喇叭，列车的尾部设置红灯；</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5.柴油单轨吊车的发动机排气超温、冷却水超温、尾气水箱水位、润滑油压力等保护装置灵敏、可靠；</w:t>
            </w:r>
          </w:p>
          <w:p>
            <w:pPr>
              <w:widowControl/>
              <w:adjustRightInd w:val="0"/>
              <w:snapToGrid w:val="0"/>
              <w:spacing w:line="280" w:lineRule="exact"/>
              <w:jc w:val="left"/>
              <w:rPr>
                <w:rFonts w:hint="eastAsia" w:ascii="宋体" w:hAnsi="宋体" w:eastAsia="宋体" w:cs="宋体"/>
                <w:kern w:val="0"/>
                <w:sz w:val="21"/>
                <w:szCs w:val="21"/>
                <w:lang w:val="en-US" w:eastAsia="zh-CN" w:bidi="ar-SA"/>
              </w:rPr>
            </w:pPr>
            <w:r>
              <w:rPr>
                <w:rFonts w:hint="eastAsia" w:ascii="宋体" w:hAnsi="宋体" w:eastAsia="宋体" w:cs="宋体"/>
                <w:sz w:val="21"/>
                <w:szCs w:val="21"/>
              </w:rPr>
              <w:t>6.蓄电池单轨吊车装备蓄电池容量指示器及漏电监测保护装置，且齐全、可靠</w:t>
            </w:r>
          </w:p>
        </w:tc>
        <w:tc>
          <w:tcPr>
            <w:tcW w:w="2075" w:type="dxa"/>
            <w:tcBorders>
              <w:tl2br w:val="nil"/>
              <w:tr2bl w:val="nil"/>
            </w:tcBorders>
            <w:vAlign w:val="center"/>
          </w:tcPr>
          <w:p>
            <w:pPr>
              <w:widowControl/>
              <w:adjustRightInd w:val="0"/>
              <w:snapToGrid w:val="0"/>
              <w:spacing w:line="28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增加：1.司机应当配备通信装置；</w:t>
            </w:r>
          </w:p>
          <w:p>
            <w:pPr>
              <w:widowControl/>
              <w:adjustRightInd w:val="0"/>
              <w:snapToGrid w:val="0"/>
              <w:spacing w:line="280" w:lineRule="exact"/>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2.运送人员时，有制动和防护装置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22" w:hRule="atLeast"/>
          <w:jc w:val="center"/>
        </w:trPr>
        <w:tc>
          <w:tcPr>
            <w:tcW w:w="1127" w:type="dxa"/>
            <w:vMerge w:val="continue"/>
            <w:tcBorders>
              <w:tl2br w:val="nil"/>
              <w:tr2bl w:val="nil"/>
            </w:tcBorders>
            <w:vAlign w:val="center"/>
          </w:tcPr>
          <w:p>
            <w:pPr>
              <w:widowControl/>
              <w:jc w:val="left"/>
              <w:rPr>
                <w:rFonts w:hint="eastAsia" w:ascii="宋体" w:hAnsi="宋体" w:eastAsia="宋体" w:cs="宋体"/>
                <w:kern w:val="0"/>
                <w:sz w:val="21"/>
                <w:szCs w:val="21"/>
              </w:rPr>
            </w:pPr>
          </w:p>
        </w:tc>
        <w:tc>
          <w:tcPr>
            <w:tcW w:w="1128" w:type="dxa"/>
            <w:tcBorders>
              <w:tl2br w:val="nil"/>
              <w:tr2bl w:val="nil"/>
            </w:tcBorders>
            <w:vAlign w:val="center"/>
          </w:tcPr>
          <w:p>
            <w:pPr>
              <w:widowControl/>
              <w:adjustRightInd w:val="0"/>
              <w:snapToGrid w:val="0"/>
              <w:spacing w:line="2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无轨胶轮车</w:t>
            </w:r>
          </w:p>
        </w:tc>
        <w:tc>
          <w:tcPr>
            <w:tcW w:w="4442" w:type="dxa"/>
            <w:tcBorders>
              <w:tl2br w:val="nil"/>
              <w:tr2bl w:val="nil"/>
            </w:tcBorders>
            <w:vAlign w:val="center"/>
          </w:tcPr>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1.转向、制动、照明系统及警示装置完好可靠,车辆有防止停车自溜设施或工具；</w:t>
            </w:r>
          </w:p>
          <w:p>
            <w:pPr>
              <w:widowControl/>
              <w:adjustRightInd w:val="0"/>
              <w:snapToGrid w:val="0"/>
              <w:spacing w:line="280" w:lineRule="exact"/>
              <w:rPr>
                <w:rFonts w:hint="eastAsia" w:ascii="宋体" w:hAnsi="宋体" w:eastAsia="宋体" w:cs="宋体"/>
                <w:color w:val="0070C0"/>
                <w:kern w:val="0"/>
                <w:sz w:val="21"/>
                <w:szCs w:val="21"/>
              </w:rPr>
            </w:pPr>
            <w:r>
              <w:rPr>
                <w:rFonts w:hint="eastAsia" w:ascii="宋体" w:hAnsi="宋体" w:eastAsia="宋体" w:cs="宋体"/>
                <w:kern w:val="0"/>
                <w:sz w:val="21"/>
                <w:szCs w:val="21"/>
              </w:rPr>
              <w:t>2.装备自动保护装置、</w:t>
            </w:r>
            <w:r>
              <w:rPr>
                <w:rFonts w:hint="eastAsia" w:ascii="宋体" w:hAnsi="宋体" w:eastAsia="宋体" w:cs="宋体"/>
                <w:color w:val="0070C0"/>
                <w:kern w:val="0"/>
                <w:sz w:val="21"/>
                <w:szCs w:val="21"/>
              </w:rPr>
              <w:t>甲烷断电仪或者便携式甲烷检测报警仪、防灭火设备等安全保护装置；</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3.装备随车通信系统或车辆位置监测系统；行驶5台及以上机车时，有车辆位置监测系统；</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4.运送人员使用专用人车；</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5.载人或载货数量符合规定；</w:t>
            </w:r>
          </w:p>
          <w:p>
            <w:pPr>
              <w:widowControl/>
              <w:adjustRightInd w:val="0"/>
              <w:snapToGrid w:val="0"/>
              <w:spacing w:line="280" w:lineRule="exact"/>
              <w:rPr>
                <w:rFonts w:hint="eastAsia" w:ascii="宋体" w:hAnsi="宋体" w:eastAsia="宋体" w:cs="宋体"/>
                <w:color w:val="0000FF"/>
                <w:sz w:val="21"/>
                <w:szCs w:val="21"/>
                <w:lang w:val="en-US" w:eastAsia="zh-CN"/>
              </w:rPr>
            </w:pPr>
            <w:r>
              <w:rPr>
                <w:rFonts w:hint="eastAsia" w:ascii="宋体" w:hAnsi="宋体" w:eastAsia="宋体" w:cs="宋体"/>
                <w:kern w:val="0"/>
                <w:sz w:val="21"/>
                <w:szCs w:val="21"/>
              </w:rPr>
              <w:t>6.运行速度：运人时不超过25km/h，运送物料时不超过40km/h，车辆严禁空挡</w:t>
            </w:r>
            <w:r>
              <w:rPr>
                <w:rFonts w:hint="eastAsia" w:ascii="宋体" w:hAnsi="宋体" w:eastAsia="宋体" w:cs="宋体"/>
                <w:color w:val="0000FF"/>
                <w:sz w:val="21"/>
                <w:szCs w:val="21"/>
                <w:lang w:val="en-US" w:eastAsia="zh-CN"/>
              </w:rPr>
              <w:t>或熄火滑行；</w:t>
            </w:r>
          </w:p>
          <w:p>
            <w:pPr>
              <w:widowControl/>
              <w:adjustRightInd w:val="0"/>
              <w:snapToGrid w:val="0"/>
              <w:spacing w:line="280" w:lineRule="exact"/>
              <w:rPr>
                <w:rFonts w:hint="eastAsia" w:ascii="宋体" w:hAnsi="宋体" w:eastAsia="宋体" w:cs="宋体"/>
                <w:sz w:val="21"/>
                <w:szCs w:val="21"/>
              </w:rPr>
            </w:pPr>
            <w:r>
              <w:rPr>
                <w:rFonts w:hint="eastAsia" w:ascii="宋体" w:hAnsi="宋体" w:eastAsia="宋体" w:cs="宋体"/>
                <w:kern w:val="0"/>
                <w:sz w:val="21"/>
                <w:szCs w:val="21"/>
              </w:rPr>
              <w:t>7.井下燃油无轨胶轮车符合排气标准规定</w:t>
            </w:r>
          </w:p>
        </w:tc>
        <w:tc>
          <w:tcPr>
            <w:tcW w:w="5144" w:type="dxa"/>
            <w:tcBorders>
              <w:tl2br w:val="nil"/>
              <w:tr2bl w:val="nil"/>
            </w:tcBorders>
            <w:shd w:val="clear" w:color="auto" w:fill="auto"/>
            <w:vAlign w:val="center"/>
          </w:tcPr>
          <w:p>
            <w:pPr>
              <w:adjustRightInd w:val="0"/>
              <w:snapToGrid w:val="0"/>
              <w:rPr>
                <w:rFonts w:hint="eastAsia" w:ascii="宋体" w:hAnsi="宋体" w:eastAsia="宋体" w:cs="宋体"/>
                <w:sz w:val="21"/>
                <w:szCs w:val="21"/>
              </w:rPr>
            </w:pPr>
            <w:r>
              <w:rPr>
                <w:rFonts w:hint="eastAsia" w:ascii="宋体" w:hAnsi="宋体" w:eastAsia="宋体" w:cs="宋体"/>
                <w:sz w:val="21"/>
                <w:szCs w:val="21"/>
              </w:rPr>
              <w:t>1.车辆转向系统、制动系统、照明系统、警示装置等完好可靠,车辆自带防止停车自溜的设施或工具；</w:t>
            </w:r>
          </w:p>
          <w:p>
            <w:pPr>
              <w:adjustRightInd w:val="0"/>
              <w:snapToGrid w:val="0"/>
              <w:rPr>
                <w:rFonts w:hint="eastAsia" w:ascii="宋体" w:hAnsi="宋体" w:eastAsia="宋体" w:cs="宋体"/>
                <w:color w:val="0070C0"/>
                <w:sz w:val="21"/>
                <w:szCs w:val="21"/>
              </w:rPr>
            </w:pPr>
            <w:r>
              <w:rPr>
                <w:rFonts w:hint="eastAsia" w:ascii="宋体" w:hAnsi="宋体" w:eastAsia="宋体" w:cs="宋体"/>
                <w:sz w:val="21"/>
                <w:szCs w:val="21"/>
              </w:rPr>
              <w:t>2.装备自动保护装置、</w:t>
            </w:r>
            <w:r>
              <w:rPr>
                <w:rFonts w:hint="eastAsia" w:ascii="宋体" w:hAnsi="宋体" w:eastAsia="宋体" w:cs="宋体"/>
                <w:color w:val="FF0000"/>
                <w:sz w:val="21"/>
                <w:szCs w:val="21"/>
              </w:rPr>
              <w:t>便携式甲烷检测报警仪、防灭火设备等安全保护装置；</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3.行驶5台及以上无轨胶轮车时，装备车辆位置监测系统；</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4.装备有通信设备；</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5.运送人员应使用专用人车；</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6.载人或载货数量在额定范围内；</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7.运行速度：运人时不超过25km/h，运送物料时不超过40km/h,车辆不空挡滑行；</w:t>
            </w:r>
          </w:p>
          <w:p>
            <w:pPr>
              <w:widowControl/>
              <w:adjustRightInd w:val="0"/>
              <w:snapToGrid w:val="0"/>
              <w:spacing w:line="28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8.井下无轨胶轮车应符合排气标准规定</w:t>
            </w:r>
          </w:p>
        </w:tc>
        <w:tc>
          <w:tcPr>
            <w:tcW w:w="2075" w:type="dxa"/>
            <w:tcBorders>
              <w:tl2br w:val="nil"/>
              <w:tr2bl w:val="nil"/>
            </w:tcBorders>
            <w:vAlign w:val="center"/>
          </w:tcPr>
          <w:p>
            <w:pPr>
              <w:widowControl/>
              <w:adjustRightInd w:val="0"/>
              <w:snapToGrid w:val="0"/>
              <w:spacing w:line="280" w:lineRule="exact"/>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增加了车辆严禁熄火滑行；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404" w:hRule="atLeast"/>
          <w:jc w:val="center"/>
        </w:trPr>
        <w:tc>
          <w:tcPr>
            <w:tcW w:w="1127" w:type="dxa"/>
            <w:vMerge w:val="restart"/>
            <w:tcBorders>
              <w:tl2br w:val="nil"/>
              <w:tr2bl w:val="nil"/>
            </w:tcBorders>
            <w:textDirection w:val="tbRlV"/>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五、运输安全设施（15分）</w:t>
            </w:r>
          </w:p>
        </w:tc>
        <w:tc>
          <w:tcPr>
            <w:tcW w:w="1128" w:type="dxa"/>
            <w:tcBorders>
              <w:tl2br w:val="nil"/>
              <w:tr2bl w:val="nil"/>
            </w:tcBorders>
            <w:vAlign w:val="center"/>
          </w:tcPr>
          <w:p>
            <w:pPr>
              <w:widowControl/>
              <w:adjustRightInd w:val="0"/>
              <w:snapToGrid w:val="0"/>
              <w:spacing w:line="2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挡车装置和跑车防护装置</w:t>
            </w:r>
          </w:p>
        </w:tc>
        <w:tc>
          <w:tcPr>
            <w:tcW w:w="4442" w:type="dxa"/>
            <w:tcBorders>
              <w:tl2br w:val="nil"/>
              <w:tr2bl w:val="nil"/>
            </w:tcBorders>
            <w:vAlign w:val="center"/>
          </w:tcPr>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1.轨道斜巷挡车装置和跑车防护装置符合规定；</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2.无轨胶轮车运行的长坡段巷道内采取车辆失速措施；</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3.无轨胶轮车运行的巷道转弯处设置防撞装置</w:t>
            </w:r>
          </w:p>
        </w:tc>
        <w:tc>
          <w:tcPr>
            <w:tcW w:w="5144" w:type="dxa"/>
            <w:tcBorders>
              <w:tl2br w:val="nil"/>
              <w:tr2bl w:val="nil"/>
            </w:tcBorders>
            <w:shd w:val="clear" w:color="auto" w:fill="auto"/>
            <w:vAlign w:val="center"/>
          </w:tcPr>
          <w:p>
            <w:pPr>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1.轨道斜巷挡车装置和跑车防护装置符合</w:t>
            </w:r>
            <w:r>
              <w:rPr>
                <w:rFonts w:hint="eastAsia" w:ascii="宋体" w:hAnsi="宋体" w:eastAsia="宋体" w:cs="宋体"/>
                <w:sz w:val="21"/>
                <w:szCs w:val="21"/>
              </w:rPr>
              <w:t>《煤矿安全规程》</w:t>
            </w:r>
            <w:r>
              <w:rPr>
                <w:rFonts w:hint="eastAsia" w:ascii="宋体" w:hAnsi="宋体" w:eastAsia="宋体" w:cs="宋体"/>
                <w:kern w:val="0"/>
                <w:sz w:val="21"/>
                <w:szCs w:val="21"/>
              </w:rPr>
              <w:t>规定要求，安装齐全、可靠，并正常使用；</w:t>
            </w:r>
          </w:p>
          <w:p>
            <w:pPr>
              <w:widowControl/>
              <w:adjustRightInd w:val="0"/>
              <w:snapToGrid w:val="0"/>
              <w:spacing w:line="28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2.无轨胶轮车运行的长坡段巷道内必须采取车辆失速安全措施，巷道转弯处设置防撞装置</w:t>
            </w:r>
          </w:p>
        </w:tc>
        <w:tc>
          <w:tcPr>
            <w:tcW w:w="2075" w:type="dxa"/>
            <w:tcBorders>
              <w:tl2br w:val="nil"/>
              <w:tr2bl w:val="nil"/>
            </w:tcBorders>
            <w:vAlign w:val="center"/>
          </w:tcPr>
          <w:p>
            <w:pPr>
              <w:widowControl/>
              <w:adjustRightInd w:val="0"/>
              <w:snapToGrid w:val="0"/>
              <w:spacing w:line="280" w:lineRule="exact"/>
              <w:rPr>
                <w:rFonts w:hint="eastAsia" w:ascii="宋体" w:hAnsi="宋体" w:eastAsia="宋体" w:cs="宋体"/>
                <w:color w:val="auto"/>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69" w:hRule="atLeast"/>
          <w:jc w:val="center"/>
        </w:trPr>
        <w:tc>
          <w:tcPr>
            <w:tcW w:w="1127" w:type="dxa"/>
            <w:vMerge w:val="continue"/>
            <w:tcBorders>
              <w:tl2br w:val="nil"/>
              <w:tr2bl w:val="nil"/>
            </w:tcBorders>
            <w:vAlign w:val="center"/>
          </w:tcPr>
          <w:p>
            <w:pPr>
              <w:widowControl/>
              <w:jc w:val="left"/>
              <w:rPr>
                <w:rFonts w:hint="eastAsia" w:ascii="宋体" w:hAnsi="宋体" w:eastAsia="宋体" w:cs="宋体"/>
                <w:kern w:val="0"/>
                <w:sz w:val="21"/>
                <w:szCs w:val="21"/>
              </w:rPr>
            </w:pPr>
          </w:p>
        </w:tc>
        <w:tc>
          <w:tcPr>
            <w:tcW w:w="1128" w:type="dxa"/>
            <w:tcBorders>
              <w:tl2br w:val="nil"/>
              <w:tr2bl w:val="nil"/>
            </w:tcBorders>
            <w:vAlign w:val="center"/>
          </w:tcPr>
          <w:p>
            <w:pPr>
              <w:widowControl/>
              <w:adjustRightInd w:val="0"/>
              <w:snapToGrid w:val="0"/>
              <w:spacing w:line="2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安全警示</w:t>
            </w:r>
          </w:p>
        </w:tc>
        <w:tc>
          <w:tcPr>
            <w:tcW w:w="4442" w:type="dxa"/>
            <w:tcBorders>
              <w:tl2br w:val="nil"/>
              <w:tr2bl w:val="nil"/>
            </w:tcBorders>
            <w:vAlign w:val="center"/>
          </w:tcPr>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1.斜巷车场及中间通道口有可靠的声光行车报警装置；</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2.斜巷双钩提升有错码信号；</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3.弯道、井底车场、其他人员密集的地点、顶车作业区有声光预警信号装置，关键道岔有道岔位置指示器；</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4.各乘人地点悬挂有明显的停车位置指示牌；</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5.斜巷车场悬挂最大提升车辆数及最大提升载荷标识；</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6.无轨胶轮车运输巷道各岔口、错车点、弯道、车场等处有行车信号和安全标志；</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7.有轨运输与无轨运输交叉处、有轨运输行人通行处等危险路段设置有限速和警示装置；</w:t>
            </w:r>
          </w:p>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color w:val="0000FF"/>
                <w:sz w:val="21"/>
                <w:szCs w:val="21"/>
                <w:lang w:val="en-US" w:eastAsia="zh-CN"/>
              </w:rPr>
              <w:t>8.各运输岗位悬挂岗位责任制和操作规程</w:t>
            </w:r>
          </w:p>
        </w:tc>
        <w:tc>
          <w:tcPr>
            <w:tcW w:w="5144" w:type="dxa"/>
            <w:tcBorders>
              <w:tl2br w:val="nil"/>
              <w:tr2bl w:val="nil"/>
            </w:tcBorders>
            <w:shd w:val="clear" w:color="auto" w:fill="auto"/>
            <w:vAlign w:val="center"/>
          </w:tcPr>
          <w:p>
            <w:pPr>
              <w:adjustRightInd w:val="0"/>
              <w:snapToGrid w:val="0"/>
              <w:rPr>
                <w:rFonts w:hint="eastAsia" w:ascii="宋体" w:hAnsi="宋体" w:eastAsia="宋体" w:cs="宋体"/>
                <w:sz w:val="21"/>
                <w:szCs w:val="21"/>
              </w:rPr>
            </w:pPr>
            <w:r>
              <w:rPr>
                <w:rFonts w:hint="eastAsia" w:ascii="宋体" w:hAnsi="宋体" w:eastAsia="宋体" w:cs="宋体"/>
                <w:sz w:val="21"/>
                <w:szCs w:val="21"/>
              </w:rPr>
              <w:t>1.斜巷各车场及中间通道口装备有声光行车报警装置，并使用正常；</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2.斜巷双钩提升装备错码信号；</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3.弯道、井底车场、其他人员密集的地点、顶车作业区装备有声光预警信号装置，关键部位道岔装备有道岔位置指示器；</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 xml:space="preserve">4.各乘人地点悬挂有明显的停车位置指示牌； </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5.斜巷车场悬挂最大提升车辆数及最大提升载荷数的明确标识；</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6.无轨胶轮车运输巷道各岔口、错车点、弯道、车场等处设有行车指示等安全标志和信号；</w:t>
            </w:r>
          </w:p>
          <w:p>
            <w:pPr>
              <w:widowControl/>
              <w:adjustRightInd w:val="0"/>
              <w:snapToGrid w:val="0"/>
              <w:spacing w:line="280" w:lineRule="exact"/>
              <w:jc w:val="left"/>
              <w:rPr>
                <w:rFonts w:hint="eastAsia" w:ascii="宋体" w:hAnsi="宋体" w:eastAsia="宋体" w:cs="宋体"/>
                <w:kern w:val="0"/>
                <w:sz w:val="21"/>
                <w:szCs w:val="21"/>
                <w:lang w:val="en-US" w:eastAsia="zh-CN" w:bidi="ar-SA"/>
              </w:rPr>
            </w:pPr>
            <w:r>
              <w:rPr>
                <w:rFonts w:hint="eastAsia" w:ascii="宋体" w:hAnsi="宋体" w:eastAsia="宋体" w:cs="宋体"/>
                <w:sz w:val="21"/>
                <w:szCs w:val="21"/>
              </w:rPr>
              <w:t>7.有轨运输与无轨运输交叉处、有轨运输行人通行处等危险路段设置有限速和警示装置</w:t>
            </w:r>
          </w:p>
        </w:tc>
        <w:tc>
          <w:tcPr>
            <w:tcW w:w="2075" w:type="dxa"/>
            <w:tcBorders>
              <w:tl2br w:val="nil"/>
              <w:tr2bl w:val="nil"/>
            </w:tcBorders>
            <w:shd w:val="clear" w:color="auto" w:fill="auto"/>
            <w:vAlign w:val="center"/>
          </w:tcPr>
          <w:p>
            <w:pPr>
              <w:widowControl/>
              <w:adjustRightInd w:val="0"/>
              <w:snapToGrid w:val="0"/>
              <w:spacing w:line="28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增加：各运输岗位悬挂岗位责任制和操作规程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1127" w:type="dxa"/>
            <w:vMerge w:val="continue"/>
            <w:tcBorders>
              <w:tl2br w:val="nil"/>
              <w:tr2bl w:val="nil"/>
            </w:tcBorders>
            <w:vAlign w:val="center"/>
          </w:tcPr>
          <w:p>
            <w:pPr>
              <w:widowControl/>
              <w:jc w:val="left"/>
              <w:rPr>
                <w:rFonts w:hint="eastAsia" w:ascii="宋体" w:hAnsi="宋体" w:eastAsia="宋体" w:cs="宋体"/>
                <w:kern w:val="0"/>
                <w:sz w:val="21"/>
                <w:szCs w:val="21"/>
              </w:rPr>
            </w:pPr>
          </w:p>
        </w:tc>
        <w:tc>
          <w:tcPr>
            <w:tcW w:w="1128" w:type="dxa"/>
            <w:tcBorders>
              <w:tl2br w:val="nil"/>
              <w:tr2bl w:val="nil"/>
            </w:tcBorders>
            <w:vAlign w:val="center"/>
          </w:tcPr>
          <w:p>
            <w:pPr>
              <w:widowControl/>
              <w:adjustRightInd w:val="0"/>
              <w:snapToGrid w:val="0"/>
              <w:spacing w:line="2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物料捆绑</w:t>
            </w:r>
          </w:p>
        </w:tc>
        <w:tc>
          <w:tcPr>
            <w:tcW w:w="4442" w:type="dxa"/>
            <w:tcBorders>
              <w:tl2br w:val="nil"/>
              <w:tr2bl w:val="nil"/>
            </w:tcBorders>
            <w:vAlign w:val="center"/>
          </w:tcPr>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捆绑固定牢固可靠，有防跑防滑措施</w:t>
            </w:r>
          </w:p>
        </w:tc>
        <w:tc>
          <w:tcPr>
            <w:tcW w:w="5144" w:type="dxa"/>
            <w:tcBorders>
              <w:tl2br w:val="nil"/>
              <w:tr2bl w:val="nil"/>
            </w:tcBorders>
            <w:shd w:val="clear" w:color="auto" w:fill="auto"/>
            <w:vAlign w:val="center"/>
          </w:tcPr>
          <w:p>
            <w:pPr>
              <w:adjustRightInd w:val="0"/>
              <w:snapToGrid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捆绑固定牢固可靠，有防跑防滑措施</w:t>
            </w:r>
          </w:p>
        </w:tc>
        <w:tc>
          <w:tcPr>
            <w:tcW w:w="2075" w:type="dxa"/>
            <w:vMerge w:val="restart"/>
            <w:tcBorders>
              <w:tl2br w:val="nil"/>
              <w:tr2bl w:val="nil"/>
            </w:tcBorders>
            <w:vAlign w:val="center"/>
          </w:tcPr>
          <w:p>
            <w:pPr>
              <w:widowControl/>
              <w:adjustRightInd w:val="0"/>
              <w:snapToGrid w:val="0"/>
              <w:spacing w:line="280" w:lineRule="exact"/>
              <w:rPr>
                <w:rFonts w:hint="eastAsia" w:ascii="宋体" w:hAnsi="宋体" w:eastAsia="宋体" w:cs="宋体"/>
                <w:color w:val="auto"/>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1127" w:type="dxa"/>
            <w:vMerge w:val="continue"/>
            <w:tcBorders>
              <w:tl2br w:val="nil"/>
              <w:tr2bl w:val="nil"/>
            </w:tcBorders>
            <w:vAlign w:val="center"/>
          </w:tcPr>
          <w:p>
            <w:pPr>
              <w:widowControl/>
              <w:jc w:val="left"/>
              <w:rPr>
                <w:rFonts w:hint="eastAsia" w:ascii="宋体" w:hAnsi="宋体" w:eastAsia="宋体" w:cs="宋体"/>
                <w:kern w:val="0"/>
                <w:sz w:val="21"/>
                <w:szCs w:val="21"/>
              </w:rPr>
            </w:pPr>
          </w:p>
        </w:tc>
        <w:tc>
          <w:tcPr>
            <w:tcW w:w="1128" w:type="dxa"/>
            <w:tcBorders>
              <w:tl2br w:val="nil"/>
              <w:tr2bl w:val="nil"/>
            </w:tcBorders>
            <w:vAlign w:val="center"/>
          </w:tcPr>
          <w:p>
            <w:pPr>
              <w:widowControl/>
              <w:adjustRightInd w:val="0"/>
              <w:snapToGrid w:val="0"/>
              <w:spacing w:line="2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连接装置</w:t>
            </w:r>
          </w:p>
        </w:tc>
        <w:tc>
          <w:tcPr>
            <w:tcW w:w="4442" w:type="dxa"/>
            <w:tcBorders>
              <w:tl2br w:val="nil"/>
              <w:tr2bl w:val="nil"/>
            </w:tcBorders>
            <w:vAlign w:val="center"/>
          </w:tcPr>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保险链（绳）、连接环（链）、连接杆、插销、连接钩头完好，连接方式符合规定</w:t>
            </w:r>
          </w:p>
        </w:tc>
        <w:tc>
          <w:tcPr>
            <w:tcW w:w="5144" w:type="dxa"/>
            <w:tcBorders>
              <w:tl2br w:val="nil"/>
              <w:tr2bl w:val="nil"/>
            </w:tcBorders>
            <w:shd w:val="clear" w:color="auto" w:fill="auto"/>
            <w:vAlign w:val="center"/>
          </w:tcPr>
          <w:p>
            <w:pPr>
              <w:adjustRightInd w:val="0"/>
              <w:snapToGrid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保险链（绳）、连接环（链）、连接杆、插销、连接钩头及其连接方式符合规定</w:t>
            </w:r>
          </w:p>
        </w:tc>
        <w:tc>
          <w:tcPr>
            <w:tcW w:w="2075" w:type="dxa"/>
            <w:vMerge w:val="continue"/>
            <w:tcBorders>
              <w:tl2br w:val="nil"/>
              <w:tr2bl w:val="nil"/>
            </w:tcBorders>
            <w:vAlign w:val="center"/>
          </w:tcPr>
          <w:p>
            <w:pPr>
              <w:widowControl/>
              <w:jc w:val="left"/>
              <w:rPr>
                <w:rFonts w:hint="eastAsia" w:ascii="宋体" w:hAnsi="宋体" w:eastAsia="宋体" w:cs="宋体"/>
                <w:color w:val="auto"/>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jc w:val="center"/>
        </w:trPr>
        <w:tc>
          <w:tcPr>
            <w:tcW w:w="1127" w:type="dxa"/>
            <w:vMerge w:val="restart"/>
            <w:tcBorders>
              <w:tl2br w:val="nil"/>
              <w:tr2bl w:val="nil"/>
            </w:tcBorders>
            <w:textDirection w:val="tbRlV"/>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六、文明生产</w:t>
            </w:r>
          </w:p>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（4分）</w:t>
            </w:r>
          </w:p>
        </w:tc>
        <w:tc>
          <w:tcPr>
            <w:tcW w:w="1128" w:type="dxa"/>
            <w:vMerge w:val="restart"/>
            <w:tcBorders>
              <w:tl2br w:val="nil"/>
              <w:tr2bl w:val="nil"/>
            </w:tcBorders>
            <w:vAlign w:val="center"/>
          </w:tcPr>
          <w:p>
            <w:pPr>
              <w:widowControl/>
              <w:adjustRightInd w:val="0"/>
              <w:snapToGrid w:val="0"/>
              <w:spacing w:line="2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作业场所</w:t>
            </w:r>
          </w:p>
        </w:tc>
        <w:tc>
          <w:tcPr>
            <w:tcW w:w="4442" w:type="dxa"/>
            <w:tcBorders>
              <w:tl2br w:val="nil"/>
              <w:tr2bl w:val="nil"/>
            </w:tcBorders>
            <w:vAlign w:val="center"/>
          </w:tcPr>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运输线路、设备硐室、车间等卫生整洁，设备清洁，材料分类、集中码放整齐</w:t>
            </w:r>
          </w:p>
        </w:tc>
        <w:tc>
          <w:tcPr>
            <w:tcW w:w="5144" w:type="dxa"/>
            <w:tcBorders>
              <w:tl2br w:val="nil"/>
              <w:tr2bl w:val="nil"/>
            </w:tcBorders>
            <w:shd w:val="clear" w:color="auto" w:fill="auto"/>
            <w:vAlign w:val="center"/>
          </w:tcPr>
          <w:p>
            <w:pPr>
              <w:adjustRightInd w:val="0"/>
              <w:snapToGrid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1.运输线路、设备硐室、车间等卫生整洁，设备清洁，材料分类、集中码放整齐</w:t>
            </w:r>
          </w:p>
        </w:tc>
        <w:tc>
          <w:tcPr>
            <w:tcW w:w="2075" w:type="dxa"/>
            <w:vMerge w:val="restart"/>
            <w:tcBorders>
              <w:tl2br w:val="nil"/>
              <w:tr2bl w:val="nil"/>
            </w:tcBorders>
            <w:vAlign w:val="center"/>
          </w:tcPr>
          <w:p>
            <w:pPr>
              <w:widowControl/>
              <w:adjustRightInd w:val="0"/>
              <w:snapToGrid w:val="0"/>
              <w:spacing w:line="280" w:lineRule="exact"/>
              <w:rPr>
                <w:rFonts w:hint="eastAsia" w:ascii="宋体" w:hAnsi="宋体" w:eastAsia="宋体" w:cs="宋体"/>
                <w:color w:val="auto"/>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jc w:val="center"/>
        </w:trPr>
        <w:tc>
          <w:tcPr>
            <w:tcW w:w="1127" w:type="dxa"/>
            <w:vMerge w:val="continue"/>
            <w:tcBorders>
              <w:tl2br w:val="nil"/>
              <w:tr2bl w:val="nil"/>
            </w:tcBorders>
            <w:vAlign w:val="center"/>
          </w:tcPr>
          <w:p>
            <w:pPr>
              <w:widowControl/>
              <w:jc w:val="left"/>
              <w:rPr>
                <w:rFonts w:hint="eastAsia" w:ascii="宋体" w:hAnsi="宋体" w:eastAsia="宋体" w:cs="宋体"/>
                <w:kern w:val="0"/>
                <w:sz w:val="21"/>
                <w:szCs w:val="21"/>
              </w:rPr>
            </w:pPr>
          </w:p>
        </w:tc>
        <w:tc>
          <w:tcPr>
            <w:tcW w:w="1128" w:type="dxa"/>
            <w:vMerge w:val="continue"/>
            <w:tcBorders>
              <w:tl2br w:val="nil"/>
              <w:tr2bl w:val="nil"/>
            </w:tcBorders>
            <w:vAlign w:val="center"/>
          </w:tcPr>
          <w:p>
            <w:pPr>
              <w:widowControl/>
              <w:jc w:val="left"/>
              <w:rPr>
                <w:rFonts w:hint="eastAsia" w:ascii="宋体" w:hAnsi="宋体" w:eastAsia="宋体" w:cs="宋体"/>
                <w:kern w:val="0"/>
                <w:sz w:val="21"/>
                <w:szCs w:val="21"/>
              </w:rPr>
            </w:pPr>
          </w:p>
        </w:tc>
        <w:tc>
          <w:tcPr>
            <w:tcW w:w="4442" w:type="dxa"/>
            <w:tcBorders>
              <w:tl2br w:val="nil"/>
              <w:tr2bl w:val="nil"/>
            </w:tcBorders>
            <w:vAlign w:val="center"/>
          </w:tcPr>
          <w:p>
            <w:pPr>
              <w:widowControl/>
              <w:adjustRightInd w:val="0"/>
              <w:snapToGrid w:val="0"/>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主要运输线路水沟畅通，巷道无淤泥、积水；水沟侧作为人行道时，盖板齐全、稳固</w:t>
            </w:r>
          </w:p>
        </w:tc>
        <w:tc>
          <w:tcPr>
            <w:tcW w:w="5144" w:type="dxa"/>
            <w:tcBorders>
              <w:tl2br w:val="nil"/>
              <w:tr2bl w:val="nil"/>
            </w:tcBorders>
            <w:shd w:val="clear" w:color="auto" w:fill="auto"/>
            <w:vAlign w:val="center"/>
          </w:tcPr>
          <w:p>
            <w:pPr>
              <w:adjustRightInd w:val="0"/>
              <w:snapToGrid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2.主要运输线路水沟畅通，巷道无淤泥、积水；水沟侧作为人行道时，盖板齐全、稳固</w:t>
            </w:r>
          </w:p>
        </w:tc>
        <w:tc>
          <w:tcPr>
            <w:tcW w:w="2075" w:type="dxa"/>
            <w:vMerge w:val="continue"/>
            <w:tcBorders>
              <w:tl2br w:val="nil"/>
              <w:tr2bl w:val="nil"/>
            </w:tcBorders>
            <w:vAlign w:val="center"/>
          </w:tcPr>
          <w:p>
            <w:pPr>
              <w:widowControl/>
              <w:jc w:val="left"/>
              <w:rPr>
                <w:rFonts w:hint="eastAsia" w:ascii="宋体" w:hAnsi="宋体" w:eastAsia="宋体" w:cs="宋体"/>
                <w:color w:val="auto"/>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jc w:val="center"/>
        </w:trPr>
        <w:tc>
          <w:tcPr>
            <w:tcW w:w="1127" w:type="dxa"/>
            <w:vMerge w:val="restart"/>
            <w:shd w:val="clear" w:color="auto" w:fill="auto"/>
            <w:vAlign w:val="center"/>
          </w:tcPr>
          <w:p>
            <w:pPr>
              <w:adjustRightInd w:val="0"/>
              <w:snapToGrid w:val="0"/>
              <w:jc w:val="left"/>
              <w:rPr>
                <w:rFonts w:hint="eastAsia" w:ascii="宋体" w:hAnsi="宋体" w:eastAsia="宋体" w:cs="宋体"/>
                <w:color w:val="FF0000"/>
                <w:sz w:val="21"/>
                <w:szCs w:val="21"/>
                <w:lang w:val="en-US" w:eastAsia="zh-CN"/>
              </w:rPr>
            </w:pPr>
            <w:r>
              <w:rPr>
                <w:rFonts w:hint="eastAsia" w:ascii="宋体" w:hAnsi="宋体" w:eastAsia="宋体" w:cs="宋体"/>
                <w:color w:val="auto"/>
                <w:sz w:val="21"/>
                <w:szCs w:val="21"/>
              </w:rPr>
              <w:t>六、职工素质及岗位规范（5分</w:t>
            </w:r>
          </w:p>
        </w:tc>
        <w:tc>
          <w:tcPr>
            <w:tcW w:w="1128" w:type="dxa"/>
            <w:shd w:val="clear" w:color="auto" w:fill="auto"/>
            <w:vAlign w:val="center"/>
          </w:tcPr>
          <w:p>
            <w:pPr>
              <w:adjustRightInd w:val="0"/>
              <w:snapToGrid w:val="0"/>
              <w:jc w:val="left"/>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rPr>
              <w:t>管理技术人员</w:t>
            </w:r>
          </w:p>
        </w:tc>
        <w:tc>
          <w:tcPr>
            <w:tcW w:w="4442" w:type="dxa"/>
          </w:tcPr>
          <w:p>
            <w:pPr>
              <w:widowControl/>
              <w:adjustRightInd w:val="0"/>
              <w:snapToGrid w:val="0"/>
              <w:spacing w:line="280" w:lineRule="exact"/>
              <w:rPr>
                <w:rFonts w:hint="eastAsia" w:ascii="宋体" w:hAnsi="宋体" w:eastAsia="宋体" w:cs="宋体"/>
                <w:kern w:val="0"/>
                <w:sz w:val="21"/>
                <w:szCs w:val="21"/>
              </w:rPr>
            </w:pPr>
          </w:p>
        </w:tc>
        <w:tc>
          <w:tcPr>
            <w:tcW w:w="5144" w:type="dxa"/>
            <w:shd w:val="clear" w:color="auto" w:fill="auto"/>
            <w:vAlign w:val="center"/>
          </w:tcPr>
          <w:p>
            <w:pPr>
              <w:adjustRightInd w:val="0"/>
              <w:snapToGrid w:val="0"/>
              <w:jc w:val="left"/>
              <w:rPr>
                <w:rFonts w:hint="eastAsia" w:ascii="宋体" w:hAnsi="宋体" w:eastAsia="宋体" w:cs="宋体"/>
                <w:color w:val="FF0000"/>
                <w:kern w:val="2"/>
                <w:sz w:val="21"/>
                <w:szCs w:val="21"/>
                <w:lang w:val="en-US" w:eastAsia="zh-CN" w:bidi="ar-SA"/>
              </w:rPr>
            </w:pPr>
            <w:r>
              <w:rPr>
                <w:rFonts w:hint="eastAsia" w:ascii="宋体" w:hAnsi="宋体" w:eastAsia="宋体" w:cs="宋体"/>
                <w:color w:val="FF0000"/>
                <w:sz w:val="21"/>
                <w:szCs w:val="21"/>
              </w:rPr>
              <w:t>1.区（队）管理和技术人员掌握相关的岗位职责、管理制度、技术措施</w:t>
            </w:r>
          </w:p>
        </w:tc>
        <w:tc>
          <w:tcPr>
            <w:tcW w:w="2075" w:type="dxa"/>
            <w:vMerge w:val="restart"/>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删除</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177" w:hRule="atLeast"/>
          <w:jc w:val="center"/>
        </w:trPr>
        <w:tc>
          <w:tcPr>
            <w:tcW w:w="1127" w:type="dxa"/>
            <w:vMerge w:val="continue"/>
          </w:tcPr>
          <w:p>
            <w:pPr>
              <w:adjustRightInd w:val="0"/>
              <w:snapToGrid w:val="0"/>
              <w:jc w:val="left"/>
              <w:rPr>
                <w:rFonts w:hint="eastAsia" w:ascii="宋体" w:hAnsi="宋体" w:eastAsia="宋体" w:cs="宋体"/>
                <w:color w:val="FF0000"/>
                <w:sz w:val="21"/>
                <w:szCs w:val="21"/>
              </w:rPr>
            </w:pPr>
          </w:p>
        </w:tc>
        <w:tc>
          <w:tcPr>
            <w:tcW w:w="1128" w:type="dxa"/>
            <w:shd w:val="clear" w:color="auto" w:fill="auto"/>
            <w:vAlign w:val="center"/>
          </w:tcPr>
          <w:p>
            <w:pPr>
              <w:adjustRightInd w:val="0"/>
              <w:snapToGrid w:val="0"/>
              <w:jc w:val="left"/>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rPr>
              <w:t>作业人员</w:t>
            </w:r>
          </w:p>
        </w:tc>
        <w:tc>
          <w:tcPr>
            <w:tcW w:w="4442" w:type="dxa"/>
          </w:tcPr>
          <w:p>
            <w:pPr>
              <w:widowControl/>
              <w:adjustRightInd w:val="0"/>
              <w:snapToGrid w:val="0"/>
              <w:spacing w:line="280" w:lineRule="exact"/>
              <w:rPr>
                <w:rFonts w:hint="eastAsia" w:ascii="宋体" w:hAnsi="宋体" w:eastAsia="宋体" w:cs="宋体"/>
                <w:kern w:val="0"/>
                <w:sz w:val="21"/>
                <w:szCs w:val="21"/>
              </w:rPr>
            </w:pPr>
          </w:p>
        </w:tc>
        <w:tc>
          <w:tcPr>
            <w:tcW w:w="5144" w:type="dxa"/>
            <w:shd w:val="clear" w:color="auto" w:fill="auto"/>
            <w:vAlign w:val="center"/>
          </w:tcPr>
          <w:p>
            <w:pPr>
              <w:adjustRightInd w:val="0"/>
              <w:snapToGrid w:val="0"/>
              <w:jc w:val="left"/>
              <w:rPr>
                <w:rFonts w:hint="eastAsia" w:ascii="宋体" w:hAnsi="宋体" w:eastAsia="宋体" w:cs="宋体"/>
                <w:color w:val="FF0000"/>
                <w:kern w:val="2"/>
                <w:sz w:val="21"/>
                <w:szCs w:val="21"/>
                <w:lang w:val="en-US" w:eastAsia="zh-CN" w:bidi="ar-SA"/>
              </w:rPr>
            </w:pPr>
            <w:r>
              <w:rPr>
                <w:rFonts w:hint="eastAsia" w:ascii="宋体" w:hAnsi="宋体" w:eastAsia="宋体" w:cs="宋体"/>
                <w:color w:val="FF0000"/>
                <w:sz w:val="21"/>
                <w:szCs w:val="21"/>
              </w:rPr>
              <w:t>2.班组长及现场作业人员严格执行本岗位安全生产责任制；掌握本岗位相应的操作规程、安全措施；规范操作，无“三违”行为；作业前进行岗位安全风险辨识及安全确认</w:t>
            </w:r>
          </w:p>
        </w:tc>
        <w:tc>
          <w:tcPr>
            <w:tcW w:w="2075" w:type="dxa"/>
            <w:vMerge w:val="continue"/>
          </w:tcPr>
          <w:p>
            <w:pPr>
              <w:widowControl/>
              <w:jc w:val="left"/>
              <w:rPr>
                <w:rFonts w:hint="eastAsia" w:ascii="宋体" w:hAnsi="宋体" w:eastAsia="宋体" w:cs="宋体"/>
                <w:kern w:val="0"/>
                <w:sz w:val="21"/>
                <w:szCs w:val="21"/>
              </w:rPr>
            </w:pPr>
          </w:p>
        </w:tc>
      </w:tr>
    </w:tbl>
    <w:p>
      <w:pPr>
        <w:rPr>
          <w:highlight w:val="none"/>
        </w:rPr>
      </w:pPr>
      <w:r>
        <w:rPr>
          <w:highlight w:val="none"/>
        </w:rPr>
        <w:br w:type="page"/>
      </w:r>
    </w:p>
    <w:p>
      <w:pPr>
        <w:widowControl w:val="0"/>
        <w:snapToGrid w:val="0"/>
        <w:jc w:val="center"/>
        <w:outlineLvl w:val="9"/>
        <w:rPr>
          <w:rFonts w:hint="eastAsia" w:ascii="宋体" w:hAnsi="宋体" w:eastAsia="宋体" w:cs="宋体"/>
          <w:b/>
          <w:bCs/>
          <w:kern w:val="0"/>
          <w:sz w:val="32"/>
          <w:szCs w:val="32"/>
          <w:highlight w:val="none"/>
          <w:lang w:val="en-US" w:eastAsia="zh-CN" w:bidi="ar-SA"/>
        </w:rPr>
      </w:pPr>
      <w:r>
        <w:rPr>
          <w:rFonts w:hint="eastAsia" w:ascii="宋体" w:hAnsi="宋体" w:eastAsia="宋体" w:cs="宋体"/>
          <w:b/>
          <w:bCs/>
          <w:kern w:val="0"/>
          <w:sz w:val="32"/>
          <w:szCs w:val="32"/>
          <w:highlight w:val="none"/>
          <w:lang w:val="en-US" w:eastAsia="zh-CN" w:bidi="ar-SA"/>
        </w:rPr>
        <w:t>9、煤矿</w:t>
      </w:r>
      <w:r>
        <w:rPr>
          <w:rFonts w:hint="eastAsia" w:ascii="宋体" w:hAnsi="宋体" w:eastAsia="宋体" w:cs="宋体"/>
          <w:b/>
          <w:bCs/>
          <w:color w:val="FF0000"/>
          <w:kern w:val="0"/>
          <w:sz w:val="32"/>
          <w:szCs w:val="32"/>
          <w:highlight w:val="none"/>
          <w:lang w:val="en-US" w:eastAsia="zh-CN" w:bidi="ar-SA"/>
        </w:rPr>
        <w:t>调度应急</w:t>
      </w:r>
      <w:r>
        <w:rPr>
          <w:rFonts w:hint="eastAsia" w:ascii="宋体" w:hAnsi="宋体" w:eastAsia="宋体" w:cs="宋体"/>
          <w:b/>
          <w:bCs/>
          <w:kern w:val="0"/>
          <w:sz w:val="32"/>
          <w:szCs w:val="32"/>
          <w:highlight w:val="none"/>
          <w:lang w:val="en-US" w:eastAsia="zh-CN" w:bidi="ar-SA"/>
        </w:rPr>
        <w:t>标准化评分表</w:t>
      </w:r>
    </w:p>
    <w:tbl>
      <w:tblPr>
        <w:tblStyle w:val="8"/>
        <w:tblW w:w="13916" w:type="dxa"/>
        <w:jc w:val="center"/>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82"/>
        <w:gridCol w:w="1113"/>
        <w:gridCol w:w="4304"/>
        <w:gridCol w:w="4443"/>
        <w:gridCol w:w="307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725" w:hRule="atLeast"/>
          <w:tblHeader/>
          <w:jc w:val="center"/>
        </w:trPr>
        <w:tc>
          <w:tcPr>
            <w:tcW w:w="982" w:type="dxa"/>
            <w:tcBorders>
              <w:tl2br w:val="nil"/>
              <w:tr2bl w:val="nil"/>
            </w:tcBorders>
            <w:shd w:val="clear" w:color="auto" w:fill="auto"/>
            <w:vAlign w:val="center"/>
          </w:tcPr>
          <w:p>
            <w:pPr>
              <w:widowControl/>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rPr>
              <w:t>项目</w:t>
            </w:r>
          </w:p>
        </w:tc>
        <w:tc>
          <w:tcPr>
            <w:tcW w:w="1113" w:type="dxa"/>
            <w:tcBorders>
              <w:tl2br w:val="nil"/>
              <w:tr2bl w:val="nil"/>
            </w:tcBorders>
            <w:shd w:val="clear" w:color="auto" w:fill="auto"/>
            <w:vAlign w:val="center"/>
          </w:tcPr>
          <w:p>
            <w:pPr>
              <w:widowControl/>
              <w:jc w:val="center"/>
              <w:textAlignment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项目</w:t>
            </w:r>
          </w:p>
          <w:p>
            <w:pPr>
              <w:widowControl/>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rPr>
              <w:t>内容</w:t>
            </w:r>
          </w:p>
        </w:tc>
        <w:tc>
          <w:tcPr>
            <w:tcW w:w="4304" w:type="dxa"/>
            <w:tcBorders>
              <w:tl2br w:val="nil"/>
              <w:tr2bl w:val="nil"/>
            </w:tcBorders>
            <w:shd w:val="clear" w:color="auto" w:fill="auto"/>
            <w:vAlign w:val="center"/>
          </w:tcPr>
          <w:p>
            <w:pPr>
              <w:widowControl/>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rPr>
              <w:t>2024版</w:t>
            </w:r>
            <w:r>
              <w:rPr>
                <w:rFonts w:hint="eastAsia" w:ascii="宋体" w:hAnsi="宋体" w:eastAsia="宋体" w:cs="宋体"/>
                <w:b/>
                <w:bCs/>
                <w:kern w:val="0"/>
                <w:sz w:val="21"/>
                <w:szCs w:val="21"/>
                <w:highlight w:val="none"/>
              </w:rPr>
              <w:t>基本要求</w:t>
            </w:r>
          </w:p>
        </w:tc>
        <w:tc>
          <w:tcPr>
            <w:tcW w:w="4443" w:type="dxa"/>
            <w:tcBorders>
              <w:tl2br w:val="nil"/>
              <w:tr2bl w:val="nil"/>
            </w:tcBorders>
            <w:shd w:val="clear" w:color="auto" w:fill="auto"/>
            <w:vAlign w:val="center"/>
          </w:tcPr>
          <w:p>
            <w:pPr>
              <w:widowControl/>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rPr>
              <w:t>2020版</w:t>
            </w:r>
            <w:r>
              <w:rPr>
                <w:rFonts w:hint="eastAsia" w:ascii="宋体" w:hAnsi="宋体" w:eastAsia="宋体" w:cs="宋体"/>
                <w:b/>
                <w:bCs/>
                <w:kern w:val="0"/>
                <w:sz w:val="21"/>
                <w:szCs w:val="21"/>
                <w:highlight w:val="none"/>
              </w:rPr>
              <w:t>基本要求</w:t>
            </w:r>
          </w:p>
        </w:tc>
        <w:tc>
          <w:tcPr>
            <w:tcW w:w="3074" w:type="dxa"/>
            <w:tcBorders>
              <w:tl2br w:val="nil"/>
              <w:tr2bl w:val="nil"/>
            </w:tcBorders>
            <w:shd w:val="clear" w:color="auto" w:fill="auto"/>
            <w:vAlign w:val="center"/>
          </w:tcPr>
          <w:p>
            <w:pPr>
              <w:widowControl/>
              <w:jc w:val="center"/>
              <w:textAlignment w:val="center"/>
              <w:rPr>
                <w:rFonts w:hint="eastAsia" w:ascii="宋体" w:hAnsi="宋体" w:eastAsia="宋体" w:cs="宋体"/>
                <w:b/>
                <w:bCs/>
                <w:sz w:val="21"/>
                <w:szCs w:val="21"/>
                <w:highlight w:val="none"/>
                <w:lang w:eastAsia="zh-CN"/>
              </w:rPr>
            </w:pPr>
            <w:r>
              <w:rPr>
                <w:rFonts w:hint="eastAsia" w:ascii="宋体" w:hAnsi="宋体" w:eastAsia="宋体" w:cs="宋体"/>
                <w:b/>
                <w:bCs/>
                <w:kern w:val="0"/>
                <w:sz w:val="21"/>
                <w:szCs w:val="21"/>
                <w:highlight w:val="none"/>
                <w:lang w:val="en-US" w:eastAsia="zh-CN"/>
              </w:rPr>
              <w:t>变化</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149" w:hRule="atLeast"/>
          <w:jc w:val="center"/>
        </w:trPr>
        <w:tc>
          <w:tcPr>
            <w:tcW w:w="982" w:type="dxa"/>
            <w:vMerge w:val="restart"/>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一、调度管理（43分）</w:t>
            </w:r>
          </w:p>
        </w:tc>
        <w:tc>
          <w:tcPr>
            <w:tcW w:w="1113" w:type="dxa"/>
            <w:vMerge w:val="restart"/>
            <w:tcBorders>
              <w:tl2br w:val="nil"/>
              <w:tr2bl w:val="nil"/>
            </w:tcBorders>
            <w:shd w:val="clear" w:color="auto" w:fill="auto"/>
            <w:vAlign w:val="center"/>
          </w:tcPr>
          <w:p>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基础管理</w:t>
            </w:r>
          </w:p>
        </w:tc>
        <w:tc>
          <w:tcPr>
            <w:tcW w:w="4304" w:type="dxa"/>
            <w:tcBorders>
              <w:tl2br w:val="nil"/>
              <w:tr2bl w:val="nil"/>
            </w:tcBorders>
            <w:shd w:val="clear" w:color="auto" w:fill="auto"/>
            <w:vAlign w:val="center"/>
          </w:tcPr>
          <w:p>
            <w:pPr>
              <w:widowControl/>
              <w:adjustRightInd w:val="0"/>
              <w:snapToGrid w:val="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制定并执行调度工作管理制度；内容包括调度值班、调度会议、信息报告和处理</w:t>
            </w:r>
          </w:p>
        </w:tc>
        <w:tc>
          <w:tcPr>
            <w:tcW w:w="4443" w:type="dxa"/>
            <w:tcBorders>
              <w:tl2br w:val="nil"/>
              <w:tr2bl w:val="nil"/>
            </w:tcBorders>
            <w:shd w:val="clear" w:color="auto" w:fill="auto"/>
            <w:vAlign w:val="center"/>
          </w:tcPr>
          <w:p>
            <w:pPr>
              <w:widowControl/>
              <w:adjustRightInd w:val="0"/>
              <w:snapToGrid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制定并</w:t>
            </w:r>
            <w:r>
              <w:rPr>
                <w:rFonts w:hint="eastAsia" w:ascii="宋体" w:hAnsi="宋体" w:eastAsia="宋体" w:cs="宋体"/>
                <w:color w:val="FF0000"/>
                <w:sz w:val="21"/>
                <w:szCs w:val="21"/>
                <w:highlight w:val="none"/>
              </w:rPr>
              <w:t>严格</w:t>
            </w:r>
            <w:r>
              <w:rPr>
                <w:rFonts w:hint="eastAsia" w:ascii="宋体" w:hAnsi="宋体" w:eastAsia="宋体" w:cs="宋体"/>
                <w:sz w:val="21"/>
                <w:szCs w:val="21"/>
                <w:highlight w:val="none"/>
              </w:rPr>
              <w:t>执行调度值班制度、调度会议制度、</w:t>
            </w:r>
            <w:r>
              <w:rPr>
                <w:rFonts w:hint="eastAsia" w:ascii="宋体" w:hAnsi="宋体" w:eastAsia="宋体" w:cs="宋体"/>
                <w:color w:val="FF0000"/>
                <w:sz w:val="21"/>
                <w:szCs w:val="21"/>
                <w:highlight w:val="none"/>
              </w:rPr>
              <w:t>交接班制度、汇报制度、信息汇总分析制度、调度人员入井（坑）制度、业务学习制度、事故和突发事件</w:t>
            </w:r>
            <w:r>
              <w:rPr>
                <w:rFonts w:hint="eastAsia" w:ascii="宋体" w:hAnsi="宋体" w:eastAsia="宋体" w:cs="宋体"/>
                <w:sz w:val="21"/>
                <w:szCs w:val="21"/>
                <w:highlight w:val="none"/>
              </w:rPr>
              <w:t>信息报告与处理制度、</w:t>
            </w:r>
            <w:r>
              <w:rPr>
                <w:rFonts w:hint="eastAsia" w:ascii="宋体" w:hAnsi="宋体" w:eastAsia="宋体" w:cs="宋体"/>
                <w:color w:val="FF0000"/>
                <w:sz w:val="21"/>
                <w:szCs w:val="21"/>
                <w:highlight w:val="none"/>
              </w:rPr>
              <w:t>文档管理制度</w:t>
            </w:r>
          </w:p>
        </w:tc>
        <w:tc>
          <w:tcPr>
            <w:tcW w:w="3074" w:type="dxa"/>
            <w:tcBorders>
              <w:tl2br w:val="nil"/>
              <w:tr2bl w:val="nil"/>
            </w:tcBorders>
            <w:shd w:val="clear" w:color="auto" w:fill="auto"/>
            <w:vAlign w:val="center"/>
          </w:tcPr>
          <w:p>
            <w:pPr>
              <w:snapToGrid w:val="0"/>
              <w:jc w:val="center"/>
              <w:rPr>
                <w:rFonts w:hint="eastAsia" w:ascii="宋体" w:hAnsi="宋体" w:eastAsia="宋体" w:cs="宋体"/>
                <w:color w:val="auto"/>
                <w:sz w:val="21"/>
                <w:szCs w:val="21"/>
                <w:highlight w:val="none"/>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721" w:hRule="atLeast"/>
          <w:jc w:val="center"/>
        </w:trPr>
        <w:tc>
          <w:tcPr>
            <w:tcW w:w="982" w:type="dxa"/>
            <w:vMerge w:val="continue"/>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color w:val="auto"/>
                <w:sz w:val="21"/>
                <w:szCs w:val="21"/>
                <w:highlight w:val="none"/>
              </w:rPr>
            </w:pPr>
          </w:p>
        </w:tc>
        <w:tc>
          <w:tcPr>
            <w:tcW w:w="1113" w:type="dxa"/>
            <w:vMerge w:val="continue"/>
            <w:tcBorders>
              <w:tl2br w:val="nil"/>
              <w:tr2bl w:val="nil"/>
            </w:tcBorders>
            <w:shd w:val="clear" w:color="auto" w:fill="auto"/>
            <w:vAlign w:val="center"/>
          </w:tcPr>
          <w:p>
            <w:pPr>
              <w:snapToGrid w:val="0"/>
              <w:jc w:val="center"/>
              <w:rPr>
                <w:rFonts w:hint="eastAsia" w:ascii="宋体" w:hAnsi="宋体" w:eastAsia="宋体" w:cs="宋体"/>
                <w:sz w:val="21"/>
                <w:szCs w:val="21"/>
                <w:highlight w:val="none"/>
              </w:rPr>
            </w:pPr>
          </w:p>
        </w:tc>
        <w:tc>
          <w:tcPr>
            <w:tcW w:w="4304" w:type="dxa"/>
            <w:tcBorders>
              <w:tl2br w:val="nil"/>
              <w:tr2bl w:val="nil"/>
            </w:tcBorders>
            <w:shd w:val="clear" w:color="auto" w:fill="auto"/>
            <w:vAlign w:val="center"/>
          </w:tcPr>
          <w:p>
            <w:pPr>
              <w:widowControl/>
              <w:adjustRightInd w:val="0"/>
              <w:snapToGrid w:val="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调度室每天24h专人值守，每班工作人员满足调度工作要求</w:t>
            </w:r>
          </w:p>
        </w:tc>
        <w:tc>
          <w:tcPr>
            <w:tcW w:w="4443" w:type="dxa"/>
            <w:tcBorders>
              <w:tl2br w:val="nil"/>
              <w:tr2bl w:val="nil"/>
            </w:tcBorders>
            <w:shd w:val="clear" w:color="auto" w:fill="auto"/>
            <w:vAlign w:val="center"/>
          </w:tcPr>
          <w:p>
            <w:pPr>
              <w:widowControl/>
              <w:adjustRightInd w:val="0"/>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调度室每天24h专人值守，每班工作人员满足调度工作要求</w:t>
            </w:r>
          </w:p>
        </w:tc>
        <w:tc>
          <w:tcPr>
            <w:tcW w:w="3074" w:type="dxa"/>
            <w:tcBorders>
              <w:tl2br w:val="nil"/>
              <w:tr2bl w:val="nil"/>
            </w:tcBorders>
            <w:shd w:val="clear" w:color="auto" w:fill="auto"/>
            <w:vAlign w:val="center"/>
          </w:tcPr>
          <w:p>
            <w:pPr>
              <w:snapToGrid w:val="0"/>
              <w:jc w:val="center"/>
              <w:rPr>
                <w:rFonts w:hint="eastAsia" w:ascii="宋体" w:hAnsi="宋体" w:eastAsia="宋体" w:cs="宋体"/>
                <w:color w:val="auto"/>
                <w:sz w:val="21"/>
                <w:szCs w:val="21"/>
                <w:highlight w:val="none"/>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48" w:hRule="atLeast"/>
          <w:jc w:val="center"/>
        </w:trPr>
        <w:tc>
          <w:tcPr>
            <w:tcW w:w="982" w:type="dxa"/>
            <w:vMerge w:val="continue"/>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color w:val="auto"/>
                <w:sz w:val="21"/>
                <w:szCs w:val="21"/>
                <w:highlight w:val="none"/>
              </w:rPr>
            </w:pPr>
          </w:p>
        </w:tc>
        <w:tc>
          <w:tcPr>
            <w:tcW w:w="1113" w:type="dxa"/>
            <w:vMerge w:val="continue"/>
            <w:tcBorders>
              <w:tl2br w:val="nil"/>
              <w:tr2bl w:val="nil"/>
            </w:tcBorders>
            <w:shd w:val="clear" w:color="auto" w:fill="auto"/>
            <w:vAlign w:val="center"/>
          </w:tcPr>
          <w:p>
            <w:pPr>
              <w:snapToGrid w:val="0"/>
              <w:jc w:val="center"/>
              <w:rPr>
                <w:rFonts w:hint="eastAsia" w:ascii="宋体" w:hAnsi="宋体" w:eastAsia="宋体" w:cs="宋体"/>
                <w:sz w:val="21"/>
                <w:szCs w:val="21"/>
                <w:highlight w:val="none"/>
              </w:rPr>
            </w:pPr>
          </w:p>
        </w:tc>
        <w:tc>
          <w:tcPr>
            <w:tcW w:w="4304" w:type="dxa"/>
            <w:tcBorders>
              <w:tl2br w:val="nil"/>
              <w:tr2bl w:val="nil"/>
            </w:tcBorders>
            <w:shd w:val="clear" w:color="auto" w:fill="auto"/>
            <w:vAlign w:val="center"/>
          </w:tcPr>
          <w:p>
            <w:pPr>
              <w:widowControl/>
              <w:snapToGrid w:val="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调度室有灾害预防和处理计划、事故应急救援预案、</w:t>
            </w:r>
            <w:r>
              <w:rPr>
                <w:rFonts w:hint="eastAsia" w:ascii="宋体" w:hAnsi="宋体" w:eastAsia="宋体" w:cs="宋体"/>
                <w:color w:val="0000FF"/>
                <w:kern w:val="0"/>
                <w:sz w:val="21"/>
                <w:szCs w:val="21"/>
                <w:highlight w:val="none"/>
              </w:rPr>
              <w:t>采掘（采运排）工程平面图。井工煤矿还应备有井下避灾路线图、通风系统图、人员位置监测系统图；露天煤矿还应有边坡监测系统平面图、月度采矿设计说明书及图纸</w:t>
            </w:r>
          </w:p>
        </w:tc>
        <w:tc>
          <w:tcPr>
            <w:tcW w:w="4443" w:type="dxa"/>
            <w:tcBorders>
              <w:tl2br w:val="nil"/>
              <w:tr2bl w:val="nil"/>
            </w:tcBorders>
            <w:shd w:val="clear" w:color="auto" w:fill="auto"/>
            <w:vAlign w:val="center"/>
          </w:tcPr>
          <w:p>
            <w:pPr>
              <w:widowControl/>
              <w:snapToGrid w:val="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备有</w:t>
            </w:r>
            <w:r>
              <w:rPr>
                <w:rFonts w:hint="eastAsia" w:ascii="宋体" w:hAnsi="宋体" w:eastAsia="宋体" w:cs="宋体"/>
                <w:color w:val="FF0000"/>
                <w:sz w:val="21"/>
                <w:szCs w:val="21"/>
                <w:highlight w:val="none"/>
              </w:rPr>
              <w:t>《煤矿安全规程》规定的图纸、事故报告程序图（表）、矿领导值班、带班安排与统计表、生产计划表、重点工程进度图（表）、矿井</w:t>
            </w:r>
            <w:r>
              <w:rPr>
                <w:rFonts w:hint="eastAsia" w:ascii="宋体" w:hAnsi="宋体" w:eastAsia="宋体" w:cs="宋体"/>
                <w:sz w:val="21"/>
                <w:szCs w:val="21"/>
                <w:highlight w:val="none"/>
              </w:rPr>
              <w:t>灾害预防和处理计划、事故应急救援预案，</w:t>
            </w:r>
            <w:r>
              <w:rPr>
                <w:rFonts w:hint="eastAsia" w:ascii="宋体" w:hAnsi="宋体" w:eastAsia="宋体" w:cs="宋体"/>
                <w:color w:val="FF0000"/>
                <w:sz w:val="21"/>
                <w:szCs w:val="21"/>
                <w:highlight w:val="none"/>
              </w:rPr>
              <w:t>图（表）保持最新版本，矿井灾害预防和处理计划按照年度编制并保持最新，应急救援预案按照国家应急救援预案管理的相关法规、标准实施及时修订</w:t>
            </w:r>
          </w:p>
        </w:tc>
        <w:tc>
          <w:tcPr>
            <w:tcW w:w="3074" w:type="dxa"/>
            <w:tcBorders>
              <w:tl2br w:val="nil"/>
              <w:tr2bl w:val="nil"/>
            </w:tcBorders>
            <w:shd w:val="clear" w:color="auto" w:fill="auto"/>
            <w:vAlign w:val="center"/>
          </w:tcPr>
          <w:p>
            <w:pPr>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删除了</w:t>
            </w:r>
            <w:r>
              <w:rPr>
                <w:rFonts w:hint="eastAsia" w:ascii="宋体" w:hAnsi="宋体" w:eastAsia="宋体" w:cs="宋体"/>
                <w:color w:val="auto"/>
                <w:sz w:val="21"/>
                <w:szCs w:val="21"/>
                <w:highlight w:val="none"/>
              </w:rPr>
              <w:t>《煤矿安全规程》规定的图纸、事故报告程序图（表）、矿领导值班、带班安排与统计表、生产计划表、重点工程进度图（表）</w:t>
            </w:r>
            <w:r>
              <w:rPr>
                <w:rFonts w:hint="eastAsia" w:ascii="宋体" w:hAnsi="宋体" w:eastAsia="宋体" w:cs="宋体"/>
                <w:color w:val="auto"/>
                <w:sz w:val="21"/>
                <w:szCs w:val="21"/>
                <w:highlight w:val="none"/>
                <w:lang w:eastAsia="zh-CN"/>
              </w:rPr>
              <w:t>等内容</w:t>
            </w:r>
          </w:p>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明确新增图纸</w:t>
            </w:r>
            <w:r>
              <w:rPr>
                <w:rFonts w:hint="eastAsia" w:ascii="宋体" w:hAnsi="宋体" w:eastAsia="宋体" w:cs="宋体"/>
                <w:color w:val="auto"/>
                <w:sz w:val="21"/>
                <w:szCs w:val="21"/>
                <w:highlight w:val="none"/>
                <w:lang w:val="en-US" w:eastAsia="zh-CN"/>
              </w:rPr>
              <w:t>4项</w:t>
            </w:r>
            <w:r>
              <w:rPr>
                <w:rFonts w:hint="eastAsia" w:ascii="宋体" w:hAnsi="宋体" w:eastAsia="宋体" w:cs="宋体"/>
                <w:color w:val="auto"/>
                <w:sz w:val="21"/>
                <w:szCs w:val="21"/>
                <w:highlight w:val="none"/>
                <w:lang w:eastAsia="zh-CN"/>
              </w:rPr>
              <w:t>：采掘（采运排）工程平面图、</w:t>
            </w:r>
            <w:r>
              <w:rPr>
                <w:rFonts w:hint="eastAsia" w:ascii="宋体" w:hAnsi="宋体" w:eastAsia="宋体" w:cs="宋体"/>
                <w:color w:val="auto"/>
                <w:sz w:val="21"/>
                <w:szCs w:val="21"/>
                <w:highlight w:val="none"/>
              </w:rPr>
              <w:t>井下避灾路线图、通风系统图、人员位置监测系统图</w:t>
            </w:r>
          </w:p>
          <w:p>
            <w:pPr>
              <w:pStyle w:val="1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删除了对</w:t>
            </w:r>
            <w:r>
              <w:rPr>
                <w:rFonts w:hint="eastAsia" w:ascii="宋体" w:hAnsi="宋体" w:eastAsia="宋体" w:cs="宋体"/>
                <w:color w:val="auto"/>
                <w:sz w:val="21"/>
                <w:szCs w:val="21"/>
                <w:highlight w:val="none"/>
              </w:rPr>
              <w:t>灾害预防和处理计划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应急预案</w:t>
            </w:r>
            <w:r>
              <w:rPr>
                <w:rFonts w:hint="eastAsia" w:ascii="宋体" w:hAnsi="宋体" w:eastAsia="宋体" w:cs="宋体"/>
                <w:color w:val="auto"/>
                <w:sz w:val="21"/>
                <w:szCs w:val="21"/>
                <w:highlight w:val="none"/>
                <w:lang w:eastAsia="zh-CN"/>
              </w:rPr>
              <w:t>要保持最新和</w:t>
            </w:r>
            <w:r>
              <w:rPr>
                <w:rFonts w:hint="eastAsia" w:ascii="宋体" w:hAnsi="宋体" w:eastAsia="宋体" w:cs="宋体"/>
                <w:color w:val="auto"/>
                <w:sz w:val="21"/>
                <w:szCs w:val="21"/>
                <w:highlight w:val="none"/>
              </w:rPr>
              <w:t>及时修订</w:t>
            </w:r>
            <w:r>
              <w:rPr>
                <w:rFonts w:hint="eastAsia" w:ascii="宋体" w:hAnsi="宋体" w:eastAsia="宋体" w:cs="宋体"/>
                <w:color w:val="auto"/>
                <w:sz w:val="21"/>
                <w:szCs w:val="21"/>
                <w:highlight w:val="none"/>
                <w:lang w:eastAsia="zh-CN"/>
              </w:rPr>
              <w:t>的相关要求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721" w:hRule="atLeast"/>
          <w:jc w:val="center"/>
        </w:trPr>
        <w:tc>
          <w:tcPr>
            <w:tcW w:w="982" w:type="dxa"/>
            <w:vMerge w:val="continue"/>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color w:val="auto"/>
                <w:sz w:val="21"/>
                <w:szCs w:val="21"/>
                <w:highlight w:val="none"/>
              </w:rPr>
            </w:pPr>
          </w:p>
        </w:tc>
        <w:tc>
          <w:tcPr>
            <w:tcW w:w="1113" w:type="dxa"/>
            <w:vMerge w:val="continue"/>
            <w:tcBorders>
              <w:tl2br w:val="nil"/>
              <w:tr2bl w:val="nil"/>
            </w:tcBorders>
            <w:shd w:val="clear" w:color="auto" w:fill="auto"/>
            <w:vAlign w:val="center"/>
          </w:tcPr>
          <w:p>
            <w:pPr>
              <w:snapToGrid w:val="0"/>
              <w:jc w:val="center"/>
              <w:rPr>
                <w:rFonts w:hint="eastAsia" w:ascii="宋体" w:hAnsi="宋体" w:eastAsia="宋体" w:cs="宋体"/>
                <w:sz w:val="21"/>
                <w:szCs w:val="21"/>
                <w:highlight w:val="none"/>
              </w:rPr>
            </w:pPr>
          </w:p>
        </w:tc>
        <w:tc>
          <w:tcPr>
            <w:tcW w:w="4304" w:type="dxa"/>
            <w:tcBorders>
              <w:tl2br w:val="nil"/>
              <w:tr2bl w:val="nil"/>
            </w:tcBorders>
            <w:shd w:val="clear" w:color="auto" w:fill="auto"/>
            <w:vAlign w:val="center"/>
          </w:tcPr>
          <w:p>
            <w:pPr>
              <w:adjustRightInd w:val="0"/>
              <w:snapToGrid w:val="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调度人员按规定深入现场，了解安全生产情况</w:t>
            </w:r>
          </w:p>
        </w:tc>
        <w:tc>
          <w:tcPr>
            <w:tcW w:w="4443" w:type="dxa"/>
            <w:tcBorders>
              <w:tl2br w:val="nil"/>
              <w:tr2bl w:val="nil"/>
            </w:tcBorders>
            <w:shd w:val="clear" w:color="auto" w:fill="auto"/>
            <w:vAlign w:val="center"/>
          </w:tcPr>
          <w:p>
            <w:pPr>
              <w:snapToGrid w:val="0"/>
              <w:jc w:val="left"/>
              <w:rPr>
                <w:rFonts w:hint="eastAsia" w:ascii="宋体" w:hAnsi="宋体" w:eastAsia="宋体" w:cs="宋体"/>
                <w:color w:val="FF0000"/>
                <w:sz w:val="21"/>
                <w:szCs w:val="21"/>
                <w:highlight w:val="none"/>
              </w:rPr>
            </w:pPr>
            <w:r>
              <w:rPr>
                <w:rFonts w:hint="eastAsia" w:ascii="宋体" w:hAnsi="宋体" w:eastAsia="宋体" w:cs="宋体"/>
                <w:sz w:val="21"/>
                <w:szCs w:val="21"/>
                <w:highlight w:val="none"/>
              </w:rPr>
              <w:t>按规定深入现场，了解安全生产情况</w:t>
            </w:r>
          </w:p>
        </w:tc>
        <w:tc>
          <w:tcPr>
            <w:tcW w:w="3074" w:type="dxa"/>
            <w:tcBorders>
              <w:tl2br w:val="nil"/>
              <w:tr2bl w:val="nil"/>
            </w:tcBorders>
            <w:shd w:val="clear" w:color="auto" w:fill="auto"/>
            <w:vAlign w:val="center"/>
          </w:tcPr>
          <w:p>
            <w:pPr>
              <w:snapToGrid w:val="0"/>
              <w:jc w:val="center"/>
              <w:rPr>
                <w:rFonts w:hint="eastAsia" w:ascii="宋体" w:hAnsi="宋体" w:eastAsia="宋体" w:cs="宋体"/>
                <w:color w:val="auto"/>
                <w:sz w:val="21"/>
                <w:szCs w:val="21"/>
                <w:highlight w:val="none"/>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866" w:hRule="atLeast"/>
          <w:jc w:val="center"/>
        </w:trPr>
        <w:tc>
          <w:tcPr>
            <w:tcW w:w="982" w:type="dxa"/>
            <w:vMerge w:val="continue"/>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color w:val="auto"/>
                <w:sz w:val="21"/>
                <w:szCs w:val="21"/>
                <w:highlight w:val="none"/>
              </w:rPr>
            </w:pPr>
          </w:p>
        </w:tc>
        <w:tc>
          <w:tcPr>
            <w:tcW w:w="1113" w:type="dxa"/>
            <w:vMerge w:val="restart"/>
            <w:tcBorders>
              <w:tl2br w:val="nil"/>
              <w:tr2bl w:val="nil"/>
            </w:tcBorders>
            <w:shd w:val="clear" w:color="auto" w:fill="auto"/>
            <w:vAlign w:val="center"/>
          </w:tcPr>
          <w:p>
            <w:pPr>
              <w:widowControl/>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组织协调</w:t>
            </w:r>
          </w:p>
        </w:tc>
        <w:tc>
          <w:tcPr>
            <w:tcW w:w="4304" w:type="dxa"/>
            <w:tcBorders>
              <w:tl2br w:val="nil"/>
              <w:tr2bl w:val="nil"/>
            </w:tcBorders>
            <w:shd w:val="clear" w:color="auto" w:fill="auto"/>
            <w:vAlign w:val="center"/>
          </w:tcPr>
          <w:p>
            <w:pPr>
              <w:widowControl/>
              <w:snapToGrid w:val="0"/>
              <w:rPr>
                <w:rFonts w:hint="eastAsia" w:ascii="宋体" w:hAnsi="宋体" w:eastAsia="宋体" w:cs="宋体"/>
                <w:strike/>
                <w:kern w:val="2"/>
                <w:sz w:val="21"/>
                <w:szCs w:val="21"/>
                <w:highlight w:val="none"/>
                <w:lang w:val="en-US" w:eastAsia="zh-CN" w:bidi="ar-SA"/>
              </w:rPr>
            </w:pPr>
            <w:r>
              <w:rPr>
                <w:rFonts w:hint="eastAsia" w:ascii="宋体" w:hAnsi="宋体" w:eastAsia="宋体" w:cs="宋体"/>
                <w:sz w:val="21"/>
                <w:szCs w:val="21"/>
                <w:highlight w:val="none"/>
              </w:rPr>
              <w:t>组织召开日调度会，对生产计划进行跟踪、协调、</w:t>
            </w:r>
            <w:r>
              <w:rPr>
                <w:rFonts w:hint="eastAsia" w:ascii="宋体" w:hAnsi="宋体" w:eastAsia="宋体" w:cs="宋体"/>
                <w:color w:val="0000FF"/>
                <w:kern w:val="0"/>
                <w:sz w:val="21"/>
                <w:szCs w:val="21"/>
                <w:highlight w:val="none"/>
              </w:rPr>
              <w:t>督促、</w:t>
            </w:r>
            <w:r>
              <w:rPr>
                <w:rFonts w:hint="eastAsia" w:ascii="宋体" w:hAnsi="宋体" w:eastAsia="宋体" w:cs="宋体"/>
                <w:sz w:val="21"/>
                <w:szCs w:val="21"/>
                <w:highlight w:val="none"/>
              </w:rPr>
              <w:t>落实、考核，</w:t>
            </w:r>
            <w:r>
              <w:rPr>
                <w:rFonts w:hint="eastAsia" w:ascii="宋体" w:hAnsi="宋体" w:eastAsia="宋体" w:cs="宋体"/>
                <w:color w:val="0000FF"/>
                <w:kern w:val="0"/>
                <w:sz w:val="21"/>
                <w:szCs w:val="21"/>
                <w:highlight w:val="none"/>
              </w:rPr>
              <w:t>会议记录详实</w:t>
            </w:r>
          </w:p>
        </w:tc>
        <w:tc>
          <w:tcPr>
            <w:tcW w:w="4443" w:type="dxa"/>
            <w:tcBorders>
              <w:tl2br w:val="nil"/>
              <w:tr2bl w:val="nil"/>
            </w:tcBorders>
            <w:shd w:val="clear" w:color="auto" w:fill="auto"/>
            <w:vAlign w:val="center"/>
          </w:tcPr>
          <w:p>
            <w:pPr>
              <w:widowControl/>
              <w:snapToGrid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组织召开日调度会，对</w:t>
            </w:r>
            <w:r>
              <w:rPr>
                <w:rFonts w:hint="eastAsia" w:ascii="宋体" w:hAnsi="宋体" w:eastAsia="宋体" w:cs="宋体"/>
                <w:color w:val="FF0000"/>
                <w:sz w:val="21"/>
                <w:szCs w:val="21"/>
                <w:highlight w:val="none"/>
              </w:rPr>
              <w:t>年度、月度</w:t>
            </w:r>
            <w:r>
              <w:rPr>
                <w:rFonts w:hint="eastAsia" w:ascii="宋体" w:hAnsi="宋体" w:eastAsia="宋体" w:cs="宋体"/>
                <w:sz w:val="21"/>
                <w:szCs w:val="21"/>
                <w:highlight w:val="none"/>
              </w:rPr>
              <w:t>生产计划进行跟踪、协调、落实、考核</w:t>
            </w:r>
          </w:p>
        </w:tc>
        <w:tc>
          <w:tcPr>
            <w:tcW w:w="3074" w:type="dxa"/>
            <w:tcBorders>
              <w:tl2br w:val="nil"/>
              <w:tr2bl w:val="nil"/>
            </w:tcBorders>
            <w:shd w:val="clear" w:color="auto" w:fill="auto"/>
            <w:vAlign w:val="center"/>
          </w:tcPr>
          <w:p>
            <w:pPr>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增加了对生产计划的督促，明确了要有会议记录，并且会议记录要详实</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149" w:hRule="atLeast"/>
          <w:jc w:val="center"/>
        </w:trPr>
        <w:tc>
          <w:tcPr>
            <w:tcW w:w="982" w:type="dxa"/>
            <w:vMerge w:val="continue"/>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color w:val="auto"/>
                <w:sz w:val="21"/>
                <w:szCs w:val="21"/>
                <w:highlight w:val="none"/>
              </w:rPr>
            </w:pPr>
          </w:p>
        </w:tc>
        <w:tc>
          <w:tcPr>
            <w:tcW w:w="1113" w:type="dxa"/>
            <w:vMerge w:val="continue"/>
            <w:tcBorders>
              <w:tl2br w:val="nil"/>
              <w:tr2bl w:val="nil"/>
            </w:tcBorders>
            <w:shd w:val="clear" w:color="auto" w:fill="auto"/>
            <w:vAlign w:val="center"/>
          </w:tcPr>
          <w:p>
            <w:pPr>
              <w:snapToGrid w:val="0"/>
              <w:jc w:val="center"/>
              <w:rPr>
                <w:rFonts w:hint="eastAsia" w:ascii="宋体" w:hAnsi="宋体" w:eastAsia="宋体" w:cs="宋体"/>
                <w:sz w:val="21"/>
                <w:szCs w:val="21"/>
                <w:highlight w:val="none"/>
              </w:rPr>
            </w:pPr>
          </w:p>
        </w:tc>
        <w:tc>
          <w:tcPr>
            <w:tcW w:w="4304" w:type="dxa"/>
            <w:tcBorders>
              <w:tl2br w:val="nil"/>
              <w:tr2bl w:val="nil"/>
            </w:tcBorders>
            <w:shd w:val="clear" w:color="auto" w:fill="auto"/>
            <w:vAlign w:val="center"/>
          </w:tcPr>
          <w:p>
            <w:pPr>
              <w:widowControl/>
              <w:snapToGrid w:val="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按规定及时上报安全生产信息，下达安全生产指令并跟踪落实</w:t>
            </w:r>
          </w:p>
        </w:tc>
        <w:tc>
          <w:tcPr>
            <w:tcW w:w="4443" w:type="dxa"/>
            <w:tcBorders>
              <w:tl2br w:val="nil"/>
              <w:tr2bl w:val="nil"/>
            </w:tcBorders>
            <w:shd w:val="clear" w:color="auto" w:fill="auto"/>
            <w:vAlign w:val="center"/>
          </w:tcPr>
          <w:p>
            <w:pPr>
              <w:snapToGrid w:val="0"/>
              <w:jc w:val="left"/>
              <w:rPr>
                <w:rFonts w:hint="eastAsia" w:ascii="宋体" w:hAnsi="宋体" w:eastAsia="宋体" w:cs="宋体"/>
                <w:color w:val="FF0000"/>
                <w:sz w:val="21"/>
                <w:szCs w:val="21"/>
                <w:highlight w:val="none"/>
                <w:lang w:eastAsia="zh-CN"/>
              </w:rPr>
            </w:pPr>
            <w:r>
              <w:rPr>
                <w:rFonts w:hint="eastAsia" w:ascii="宋体" w:hAnsi="宋体" w:eastAsia="宋体" w:cs="宋体"/>
                <w:color w:val="FF0000"/>
                <w:sz w:val="21"/>
                <w:szCs w:val="21"/>
                <w:highlight w:val="none"/>
                <w:lang w:eastAsia="zh-CN"/>
              </w:rPr>
              <w:t>1.掌握生产动态，协调落实生产作业计划，按规定处置生产中出现的各种问题，并准确记录；</w:t>
            </w:r>
          </w:p>
          <w:p>
            <w:pPr>
              <w:widowControl/>
              <w:snapToGrid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2.按规定及时上报安全生产信息，下达安全生产指令并跟踪落实</w:t>
            </w:r>
            <w:r>
              <w:rPr>
                <w:rFonts w:hint="eastAsia" w:ascii="宋体" w:hAnsi="宋体" w:eastAsia="宋体" w:cs="宋体"/>
                <w:color w:val="FF0000"/>
                <w:sz w:val="21"/>
                <w:szCs w:val="21"/>
                <w:highlight w:val="none"/>
                <w:lang w:eastAsia="zh-CN"/>
              </w:rPr>
              <w:t>、做好记录</w:t>
            </w:r>
          </w:p>
        </w:tc>
        <w:tc>
          <w:tcPr>
            <w:tcW w:w="3074" w:type="dxa"/>
            <w:tcBorders>
              <w:tl2br w:val="nil"/>
              <w:tr2bl w:val="nil"/>
            </w:tcBorders>
            <w:shd w:val="clear" w:color="auto" w:fill="auto"/>
            <w:vAlign w:val="center"/>
          </w:tcPr>
          <w:p>
            <w:pPr>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删除了对市场动态方面的相关要求</w:t>
            </w:r>
          </w:p>
          <w:p>
            <w:pPr>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不再要求对上报下达的相关内容要做好记录</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277" w:hRule="atLeast"/>
          <w:jc w:val="center"/>
        </w:trPr>
        <w:tc>
          <w:tcPr>
            <w:tcW w:w="982" w:type="dxa"/>
            <w:vMerge w:val="continue"/>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color w:val="auto"/>
                <w:sz w:val="21"/>
                <w:szCs w:val="21"/>
                <w:highlight w:val="none"/>
              </w:rPr>
            </w:pPr>
          </w:p>
        </w:tc>
        <w:tc>
          <w:tcPr>
            <w:tcW w:w="1113" w:type="dxa"/>
            <w:vMerge w:val="continue"/>
            <w:tcBorders>
              <w:tl2br w:val="nil"/>
              <w:tr2bl w:val="nil"/>
            </w:tcBorders>
            <w:shd w:val="clear" w:color="auto" w:fill="auto"/>
            <w:vAlign w:val="center"/>
          </w:tcPr>
          <w:p>
            <w:pPr>
              <w:snapToGrid w:val="0"/>
              <w:jc w:val="center"/>
              <w:rPr>
                <w:rFonts w:hint="eastAsia" w:ascii="宋体" w:hAnsi="宋体" w:eastAsia="宋体" w:cs="宋体"/>
                <w:sz w:val="21"/>
                <w:szCs w:val="21"/>
                <w:highlight w:val="none"/>
              </w:rPr>
            </w:pPr>
          </w:p>
        </w:tc>
        <w:tc>
          <w:tcPr>
            <w:tcW w:w="4304" w:type="dxa"/>
            <w:tcBorders>
              <w:tl2br w:val="nil"/>
              <w:tr2bl w:val="nil"/>
            </w:tcBorders>
            <w:shd w:val="clear" w:color="auto" w:fill="auto"/>
            <w:vAlign w:val="center"/>
          </w:tcPr>
          <w:p>
            <w:pPr>
              <w:widowControl/>
              <w:adjustRightInd w:val="0"/>
              <w:snapToGrid w:val="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调度</w:t>
            </w:r>
            <w:r>
              <w:rPr>
                <w:rFonts w:hint="eastAsia" w:ascii="宋体" w:hAnsi="宋体" w:eastAsia="宋体" w:cs="宋体"/>
                <w:color w:val="0000FF"/>
                <w:kern w:val="0"/>
                <w:sz w:val="21"/>
                <w:szCs w:val="21"/>
                <w:highlight w:val="none"/>
              </w:rPr>
              <w:t>原始记录详实；完整记录当班安全生产情况</w:t>
            </w:r>
          </w:p>
        </w:tc>
        <w:tc>
          <w:tcPr>
            <w:tcW w:w="4443" w:type="dxa"/>
            <w:tcBorders>
              <w:tl2br w:val="nil"/>
              <w:tr2bl w:val="nil"/>
            </w:tcBorders>
            <w:shd w:val="clear" w:color="auto" w:fill="auto"/>
            <w:vAlign w:val="center"/>
          </w:tcPr>
          <w:p>
            <w:pPr>
              <w:widowControl/>
              <w:snapToGrid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1.有日调度会会议记录，记录真实、完整，</w:t>
            </w:r>
            <w:r>
              <w:rPr>
                <w:rFonts w:hint="eastAsia" w:ascii="宋体" w:hAnsi="宋体" w:eastAsia="宋体" w:cs="宋体"/>
                <w:color w:val="FF0000"/>
                <w:sz w:val="21"/>
                <w:szCs w:val="21"/>
                <w:highlight w:val="none"/>
                <w:lang w:val="en-US" w:eastAsia="zh-CN"/>
              </w:rPr>
              <w:t xml:space="preserve">保存时限符合规定 </w:t>
            </w:r>
          </w:p>
          <w:p>
            <w:pPr>
              <w:widowControl/>
              <w:snapToGrid w:val="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有调度值班、交接班及产、运、销、存的统计台账（运、销、存由企业集中管理的除外）和安全信息统计台账（记录），内容齐全、真实、规范。内容应包括：班、日的采掘进尺和煤炭产量、运量、销量、存量，重点工程，安全状况，值班，矿领导带班下井等信息</w:t>
            </w:r>
          </w:p>
        </w:tc>
        <w:tc>
          <w:tcPr>
            <w:tcW w:w="3074" w:type="dxa"/>
            <w:tcBorders>
              <w:tl2br w:val="nil"/>
              <w:tr2bl w:val="nil"/>
            </w:tcBorders>
            <w:shd w:val="clear" w:color="auto" w:fill="auto"/>
            <w:vAlign w:val="center"/>
          </w:tcPr>
          <w:p>
            <w:pPr>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不再做细致要求，看似减少了内容，实则包括但不限于旧版的相关规定</w:t>
            </w:r>
          </w:p>
          <w:p>
            <w:pPr>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删除了对会议记录保存时限的相关要求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116" w:hRule="atLeast"/>
          <w:jc w:val="center"/>
        </w:trPr>
        <w:tc>
          <w:tcPr>
            <w:tcW w:w="982" w:type="dxa"/>
            <w:vMerge w:val="continue"/>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color w:val="auto"/>
                <w:sz w:val="21"/>
                <w:szCs w:val="21"/>
                <w:highlight w:val="none"/>
              </w:rPr>
            </w:pPr>
          </w:p>
        </w:tc>
        <w:tc>
          <w:tcPr>
            <w:tcW w:w="1113" w:type="dxa"/>
            <w:vMerge w:val="restart"/>
            <w:tcBorders>
              <w:tl2br w:val="nil"/>
              <w:tr2bl w:val="nil"/>
            </w:tcBorders>
            <w:shd w:val="clear" w:color="auto" w:fill="auto"/>
            <w:vAlign w:val="center"/>
          </w:tcPr>
          <w:p>
            <w:pPr>
              <w:widowControl/>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信息报告和处置</w:t>
            </w:r>
          </w:p>
        </w:tc>
        <w:tc>
          <w:tcPr>
            <w:tcW w:w="4304" w:type="dxa"/>
            <w:tcBorders>
              <w:tl2br w:val="nil"/>
              <w:tr2bl w:val="nil"/>
            </w:tcBorders>
            <w:shd w:val="clear" w:color="auto" w:fill="auto"/>
            <w:vAlign w:val="center"/>
          </w:tcPr>
          <w:p>
            <w:pPr>
              <w:snapToGrid w:val="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FF"/>
                <w:kern w:val="0"/>
                <w:sz w:val="21"/>
                <w:szCs w:val="21"/>
                <w:highlight w:val="none"/>
              </w:rPr>
              <w:t>矿用调度通信符合规定。通信系统</w:t>
            </w:r>
            <w:r>
              <w:rPr>
                <w:rFonts w:hint="eastAsia" w:ascii="宋体" w:hAnsi="宋体" w:eastAsia="宋体" w:cs="宋体"/>
                <w:sz w:val="21"/>
                <w:szCs w:val="21"/>
                <w:highlight w:val="none"/>
              </w:rPr>
              <w:t>有选呼、急呼、全呼、强插、强拆、监听、录音功能。调度工作台电话录音保存时间不少于3个月</w:t>
            </w:r>
          </w:p>
        </w:tc>
        <w:tc>
          <w:tcPr>
            <w:tcW w:w="4443" w:type="dxa"/>
            <w:tcBorders>
              <w:tl2br w:val="nil"/>
              <w:tr2bl w:val="nil"/>
            </w:tcBorders>
            <w:shd w:val="clear" w:color="auto" w:fill="auto"/>
            <w:vAlign w:val="center"/>
          </w:tcPr>
          <w:p>
            <w:pPr>
              <w:widowControl/>
              <w:snapToGrid w:val="0"/>
              <w:jc w:val="left"/>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2.有线调度通信系统</w:t>
            </w:r>
            <w:r>
              <w:rPr>
                <w:rFonts w:hint="eastAsia" w:ascii="宋体" w:hAnsi="宋体" w:eastAsia="宋体" w:cs="宋体"/>
                <w:sz w:val="21"/>
                <w:szCs w:val="21"/>
                <w:highlight w:val="none"/>
                <w:lang w:val="en-US" w:eastAsia="zh-CN"/>
              </w:rPr>
              <w:t>有选呼、急呼、全呼、强插、强拆、监听、录音功能。调度工作台电话录音保存时间不少于3个月</w:t>
            </w:r>
          </w:p>
          <w:p>
            <w:pPr>
              <w:widowControl/>
              <w:snapToGrid w:val="0"/>
              <w:jc w:val="left"/>
              <w:rPr>
                <w:rFonts w:hint="eastAsia" w:ascii="宋体" w:hAnsi="宋体" w:eastAsia="宋体" w:cs="宋体"/>
                <w:sz w:val="21"/>
                <w:szCs w:val="21"/>
                <w:highlight w:val="none"/>
                <w:lang w:val="en-US" w:eastAsia="zh-CN"/>
              </w:rPr>
            </w:pPr>
          </w:p>
        </w:tc>
        <w:tc>
          <w:tcPr>
            <w:tcW w:w="3074" w:type="dxa"/>
            <w:tcBorders>
              <w:tl2br w:val="nil"/>
              <w:tr2bl w:val="nil"/>
            </w:tcBorders>
            <w:shd w:val="clear" w:color="auto" w:fill="auto"/>
            <w:vAlign w:val="center"/>
          </w:tcPr>
          <w:p>
            <w:pPr>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基本上一致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721" w:hRule="atLeast"/>
          <w:jc w:val="center"/>
        </w:trPr>
        <w:tc>
          <w:tcPr>
            <w:tcW w:w="982" w:type="dxa"/>
            <w:vMerge w:val="continue"/>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color w:val="auto"/>
                <w:sz w:val="21"/>
                <w:szCs w:val="21"/>
                <w:highlight w:val="none"/>
              </w:rPr>
            </w:pPr>
          </w:p>
        </w:tc>
        <w:tc>
          <w:tcPr>
            <w:tcW w:w="1113" w:type="dxa"/>
            <w:vMerge w:val="continue"/>
            <w:tcBorders>
              <w:tl2br w:val="nil"/>
              <w:tr2bl w:val="nil"/>
            </w:tcBorders>
            <w:shd w:val="clear" w:color="auto" w:fill="auto"/>
            <w:vAlign w:val="center"/>
          </w:tcPr>
          <w:p>
            <w:pPr>
              <w:snapToGrid w:val="0"/>
              <w:jc w:val="center"/>
              <w:rPr>
                <w:rFonts w:hint="eastAsia" w:ascii="宋体" w:hAnsi="宋体" w:eastAsia="宋体" w:cs="宋体"/>
                <w:sz w:val="21"/>
                <w:szCs w:val="21"/>
                <w:highlight w:val="none"/>
              </w:rPr>
            </w:pPr>
          </w:p>
        </w:tc>
        <w:tc>
          <w:tcPr>
            <w:tcW w:w="4304" w:type="dxa"/>
            <w:tcBorders>
              <w:tl2br w:val="nil"/>
              <w:tr2bl w:val="nil"/>
            </w:tcBorders>
            <w:shd w:val="clear" w:color="auto" w:fill="auto"/>
            <w:vAlign w:val="center"/>
          </w:tcPr>
          <w:p>
            <w:pPr>
              <w:widowControl/>
              <w:adjustRightInd w:val="0"/>
              <w:snapToGrid w:val="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FF"/>
                <w:kern w:val="0"/>
                <w:sz w:val="21"/>
                <w:szCs w:val="21"/>
                <w:highlight w:val="none"/>
              </w:rPr>
              <w:t>受极端天气、滑坡、泥石流等威胁的煤矿应进行预警</w:t>
            </w:r>
          </w:p>
        </w:tc>
        <w:tc>
          <w:tcPr>
            <w:tcW w:w="4443" w:type="dxa"/>
            <w:tcBorders>
              <w:tl2br w:val="nil"/>
              <w:tr2bl w:val="nil"/>
            </w:tcBorders>
            <w:shd w:val="clear" w:color="auto" w:fill="auto"/>
            <w:vAlign w:val="center"/>
          </w:tcPr>
          <w:p>
            <w:pPr>
              <w:snapToGrid w:val="0"/>
              <w:jc w:val="left"/>
              <w:rPr>
                <w:rFonts w:hint="eastAsia" w:ascii="宋体" w:hAnsi="宋体" w:eastAsia="宋体" w:cs="宋体"/>
                <w:color w:val="FF0000"/>
                <w:sz w:val="21"/>
                <w:szCs w:val="21"/>
                <w:highlight w:val="none"/>
              </w:rPr>
            </w:pPr>
          </w:p>
        </w:tc>
        <w:tc>
          <w:tcPr>
            <w:tcW w:w="3074" w:type="dxa"/>
            <w:tcBorders>
              <w:tl2br w:val="nil"/>
              <w:tr2bl w:val="nil"/>
            </w:tcBorders>
            <w:shd w:val="clear" w:color="auto" w:fill="auto"/>
            <w:vAlign w:val="center"/>
          </w:tcPr>
          <w:p>
            <w:pPr>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新增对自然灾害预警的相关要求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866" w:hRule="atLeast"/>
          <w:jc w:val="center"/>
        </w:trPr>
        <w:tc>
          <w:tcPr>
            <w:tcW w:w="982" w:type="dxa"/>
            <w:vMerge w:val="continue"/>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color w:val="auto"/>
                <w:sz w:val="21"/>
                <w:szCs w:val="21"/>
                <w:highlight w:val="none"/>
              </w:rPr>
            </w:pPr>
          </w:p>
        </w:tc>
        <w:tc>
          <w:tcPr>
            <w:tcW w:w="1113" w:type="dxa"/>
            <w:vMerge w:val="continue"/>
            <w:tcBorders>
              <w:tl2br w:val="nil"/>
              <w:tr2bl w:val="nil"/>
            </w:tcBorders>
            <w:shd w:val="clear" w:color="auto" w:fill="auto"/>
            <w:vAlign w:val="center"/>
          </w:tcPr>
          <w:p>
            <w:pPr>
              <w:snapToGrid w:val="0"/>
              <w:jc w:val="center"/>
              <w:rPr>
                <w:rFonts w:hint="eastAsia" w:ascii="宋体" w:hAnsi="宋体" w:eastAsia="宋体" w:cs="宋体"/>
                <w:sz w:val="21"/>
                <w:szCs w:val="21"/>
                <w:highlight w:val="none"/>
              </w:rPr>
            </w:pPr>
          </w:p>
        </w:tc>
        <w:tc>
          <w:tcPr>
            <w:tcW w:w="4304" w:type="dxa"/>
            <w:tcBorders>
              <w:tl2br w:val="nil"/>
              <w:tr2bl w:val="nil"/>
            </w:tcBorders>
            <w:shd w:val="clear" w:color="auto" w:fill="auto"/>
            <w:vAlign w:val="center"/>
          </w:tcPr>
          <w:p>
            <w:pPr>
              <w:widowControl/>
              <w:adjustRightInd w:val="0"/>
              <w:snapToGrid w:val="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出现险情或发生事故时，调度人员及时下达停止作业或撤人指令，按程序启动事故应急救援预案，跟踪现场处置情况并做好记录</w:t>
            </w:r>
          </w:p>
        </w:tc>
        <w:tc>
          <w:tcPr>
            <w:tcW w:w="4443" w:type="dxa"/>
            <w:tcBorders>
              <w:tl2br w:val="nil"/>
              <w:tr2bl w:val="nil"/>
            </w:tcBorders>
            <w:shd w:val="clear" w:color="auto" w:fill="auto"/>
            <w:vAlign w:val="center"/>
          </w:tcPr>
          <w:p>
            <w:pPr>
              <w:widowControl/>
              <w:snapToGrid w:val="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出现险情或发生事故时，调度人员及时下达撤人指令、</w:t>
            </w:r>
            <w:r>
              <w:rPr>
                <w:rFonts w:hint="eastAsia" w:ascii="宋体" w:hAnsi="宋体" w:eastAsia="宋体" w:cs="宋体"/>
                <w:color w:val="FF0000"/>
                <w:sz w:val="21"/>
                <w:szCs w:val="21"/>
                <w:highlight w:val="none"/>
                <w:lang w:val="en-US" w:eastAsia="zh-CN"/>
              </w:rPr>
              <w:t>按规定报告，</w:t>
            </w:r>
            <w:r>
              <w:rPr>
                <w:rFonts w:hint="eastAsia" w:ascii="宋体" w:hAnsi="宋体" w:eastAsia="宋体" w:cs="宋体"/>
                <w:sz w:val="21"/>
                <w:szCs w:val="21"/>
                <w:highlight w:val="none"/>
              </w:rPr>
              <w:t>按程序启动事故应急救援预案，跟踪现场处置情况并做好记录</w:t>
            </w:r>
          </w:p>
        </w:tc>
        <w:tc>
          <w:tcPr>
            <w:tcW w:w="3074" w:type="dxa"/>
            <w:tcBorders>
              <w:tl2br w:val="nil"/>
              <w:tr2bl w:val="nil"/>
            </w:tcBorders>
            <w:shd w:val="clear" w:color="auto" w:fill="auto"/>
            <w:vAlign w:val="center"/>
          </w:tcPr>
          <w:p>
            <w:pPr>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按规定报告的相关内容不再针对</w:t>
            </w:r>
            <w:r>
              <w:rPr>
                <w:rFonts w:hint="eastAsia" w:ascii="宋体" w:hAnsi="宋体" w:eastAsia="宋体" w:cs="宋体"/>
                <w:color w:val="auto"/>
                <w:sz w:val="21"/>
                <w:szCs w:val="21"/>
                <w:highlight w:val="none"/>
                <w:lang w:eastAsia="zh-CN"/>
              </w:rPr>
              <w:t>调度人员，事态紧急时任何人都可以上报</w:t>
            </w:r>
            <w:r>
              <w:rPr>
                <w:rFonts w:hint="eastAsia" w:ascii="宋体" w:hAnsi="宋体" w:eastAsia="宋体" w:cs="宋体"/>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944" w:hRule="atLeast"/>
          <w:jc w:val="center"/>
        </w:trPr>
        <w:tc>
          <w:tcPr>
            <w:tcW w:w="982" w:type="dxa"/>
            <w:vMerge w:val="continue"/>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color w:val="auto"/>
                <w:sz w:val="21"/>
                <w:szCs w:val="21"/>
                <w:highlight w:val="none"/>
              </w:rPr>
            </w:pPr>
          </w:p>
        </w:tc>
        <w:tc>
          <w:tcPr>
            <w:tcW w:w="1113" w:type="dxa"/>
            <w:vMerge w:val="continue"/>
            <w:tcBorders>
              <w:tl2br w:val="nil"/>
              <w:tr2bl w:val="nil"/>
            </w:tcBorders>
            <w:shd w:val="clear" w:color="auto" w:fill="auto"/>
            <w:vAlign w:val="center"/>
          </w:tcPr>
          <w:p>
            <w:pPr>
              <w:snapToGrid w:val="0"/>
              <w:jc w:val="center"/>
              <w:rPr>
                <w:rFonts w:hint="eastAsia" w:ascii="宋体" w:hAnsi="宋体" w:eastAsia="宋体" w:cs="宋体"/>
                <w:sz w:val="21"/>
                <w:szCs w:val="21"/>
                <w:highlight w:val="none"/>
              </w:rPr>
            </w:pPr>
          </w:p>
        </w:tc>
        <w:tc>
          <w:tcPr>
            <w:tcW w:w="4304" w:type="dxa"/>
            <w:tcBorders>
              <w:tl2br w:val="nil"/>
              <w:tr2bl w:val="nil"/>
            </w:tcBorders>
            <w:shd w:val="clear" w:color="auto" w:fill="auto"/>
            <w:vAlign w:val="center"/>
          </w:tcPr>
          <w:p>
            <w:pPr>
              <w:widowControl/>
              <w:adjustRightInd w:val="0"/>
              <w:snapToGrid w:val="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按规定汇总并上报调度安全生产信息日报表，旬（周）、月调度安全生产信息统计表</w:t>
            </w:r>
          </w:p>
        </w:tc>
        <w:tc>
          <w:tcPr>
            <w:tcW w:w="4443" w:type="dxa"/>
            <w:tcBorders>
              <w:tl2br w:val="nil"/>
              <w:tr2bl w:val="nil"/>
            </w:tcBorders>
            <w:shd w:val="clear" w:color="auto" w:fill="auto"/>
            <w:vAlign w:val="center"/>
          </w:tcPr>
          <w:p>
            <w:pPr>
              <w:widowControl/>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color w:val="FF0000"/>
                <w:sz w:val="21"/>
                <w:szCs w:val="21"/>
                <w:highlight w:val="none"/>
                <w:lang w:val="en-US" w:eastAsia="zh-CN"/>
              </w:rPr>
              <w:t>每班</w:t>
            </w:r>
            <w:r>
              <w:rPr>
                <w:rFonts w:hint="eastAsia" w:ascii="宋体" w:hAnsi="宋体" w:eastAsia="宋体" w:cs="宋体"/>
                <w:sz w:val="21"/>
                <w:szCs w:val="21"/>
                <w:highlight w:val="none"/>
              </w:rPr>
              <w:t>调度汇总有关安全生产信息</w:t>
            </w:r>
          </w:p>
          <w:p>
            <w:pPr>
              <w:widowControl/>
              <w:snapToGrid w:val="0"/>
              <w:rPr>
                <w:rFonts w:hint="eastAsia" w:ascii="宋体" w:hAnsi="宋体" w:eastAsia="宋体" w:cs="宋体"/>
                <w:color w:val="FF0000"/>
                <w:sz w:val="21"/>
                <w:szCs w:val="21"/>
                <w:highlight w:val="none"/>
                <w:lang w:eastAsia="zh-CN"/>
              </w:rPr>
            </w:pPr>
            <w:r>
              <w:rPr>
                <w:rFonts w:hint="eastAsia" w:ascii="宋体" w:hAnsi="宋体" w:eastAsia="宋体" w:cs="宋体"/>
                <w:sz w:val="21"/>
                <w:szCs w:val="21"/>
                <w:highlight w:val="none"/>
              </w:rPr>
              <w:t>2.按规定时间和内容要求准确及时上报调度安全生产信息日报表，旬（周）、月调度安全生产信息统计表</w:t>
            </w:r>
            <w:r>
              <w:rPr>
                <w:rFonts w:hint="eastAsia" w:ascii="宋体" w:hAnsi="宋体" w:eastAsia="宋体" w:cs="宋体"/>
                <w:color w:val="FF0000"/>
                <w:sz w:val="21"/>
                <w:szCs w:val="21"/>
                <w:highlight w:val="none"/>
                <w:lang w:eastAsia="zh-CN"/>
              </w:rPr>
              <w:t>和矿领导值班带班情况统计表</w:t>
            </w:r>
          </w:p>
          <w:p>
            <w:pPr>
              <w:widowControl/>
              <w:snapToGrid w:val="0"/>
              <w:rPr>
                <w:rFonts w:hint="eastAsia" w:ascii="宋体" w:hAnsi="宋体" w:eastAsia="宋体" w:cs="宋体"/>
                <w:sz w:val="21"/>
                <w:szCs w:val="21"/>
                <w:highlight w:val="none"/>
              </w:rPr>
            </w:pPr>
            <w:r>
              <w:rPr>
                <w:rFonts w:hint="eastAsia" w:ascii="宋体" w:hAnsi="宋体" w:eastAsia="宋体" w:cs="宋体"/>
                <w:color w:val="FF0000"/>
                <w:sz w:val="21"/>
                <w:szCs w:val="21"/>
                <w:highlight w:val="none"/>
                <w:lang w:eastAsia="zh-CN"/>
              </w:rPr>
              <w:t>3.发生影响生产安全的突发事件，应在规定时间内向矿负责人和有关部门报告</w:t>
            </w:r>
          </w:p>
        </w:tc>
        <w:tc>
          <w:tcPr>
            <w:tcW w:w="3074" w:type="dxa"/>
            <w:tcBorders>
              <w:tl2br w:val="nil"/>
              <w:tr2bl w:val="nil"/>
            </w:tcBorders>
            <w:shd w:val="clear" w:color="auto" w:fill="auto"/>
            <w:vAlign w:val="center"/>
          </w:tcPr>
          <w:p>
            <w:pPr>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删除了每班汇总的相关要求，矿井可以根据实际情况，自行制定相关要求</w:t>
            </w:r>
          </w:p>
          <w:p>
            <w:pPr>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不再要求上报矿领导值班带班情况统计表</w:t>
            </w:r>
          </w:p>
          <w:p>
            <w:pPr>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删除了向矿负责人和有关部门报告的相关要求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115" w:hRule="atLeast"/>
          <w:jc w:val="center"/>
        </w:trPr>
        <w:tc>
          <w:tcPr>
            <w:tcW w:w="982" w:type="dxa"/>
            <w:vMerge w:val="continue"/>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color w:val="auto"/>
                <w:sz w:val="21"/>
                <w:szCs w:val="21"/>
                <w:highlight w:val="none"/>
              </w:rPr>
            </w:pPr>
          </w:p>
        </w:tc>
        <w:tc>
          <w:tcPr>
            <w:tcW w:w="1113" w:type="dxa"/>
            <w:vMerge w:val="continue"/>
            <w:tcBorders>
              <w:tl2br w:val="nil"/>
              <w:tr2bl w:val="nil"/>
            </w:tcBorders>
            <w:shd w:val="clear" w:color="auto" w:fill="auto"/>
            <w:vAlign w:val="center"/>
          </w:tcPr>
          <w:p>
            <w:pPr>
              <w:snapToGrid w:val="0"/>
              <w:jc w:val="center"/>
              <w:rPr>
                <w:rFonts w:hint="eastAsia" w:ascii="宋体" w:hAnsi="宋体" w:eastAsia="宋体" w:cs="宋体"/>
                <w:sz w:val="21"/>
                <w:szCs w:val="21"/>
                <w:highlight w:val="none"/>
              </w:rPr>
            </w:pPr>
          </w:p>
        </w:tc>
        <w:tc>
          <w:tcPr>
            <w:tcW w:w="4304" w:type="dxa"/>
            <w:tcBorders>
              <w:tl2br w:val="nil"/>
              <w:tr2bl w:val="nil"/>
            </w:tcBorders>
            <w:shd w:val="clear" w:color="auto" w:fill="auto"/>
            <w:vAlign w:val="center"/>
          </w:tcPr>
          <w:p>
            <w:pPr>
              <w:widowControl/>
              <w:adjustRightInd w:val="0"/>
              <w:snapToGrid w:val="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FF"/>
                <w:kern w:val="0"/>
                <w:sz w:val="21"/>
                <w:szCs w:val="21"/>
                <w:highlight w:val="none"/>
              </w:rPr>
              <w:t>掌握</w:t>
            </w:r>
            <w:r>
              <w:rPr>
                <w:rFonts w:hint="eastAsia" w:ascii="宋体" w:hAnsi="宋体" w:eastAsia="宋体" w:cs="宋体"/>
                <w:sz w:val="21"/>
                <w:szCs w:val="21"/>
                <w:highlight w:val="none"/>
              </w:rPr>
              <w:t>监测监控系统</w:t>
            </w:r>
            <w:r>
              <w:rPr>
                <w:rFonts w:hint="eastAsia" w:ascii="宋体" w:hAnsi="宋体" w:eastAsia="宋体" w:cs="宋体"/>
                <w:color w:val="0000FF"/>
                <w:kern w:val="0"/>
                <w:sz w:val="21"/>
                <w:szCs w:val="21"/>
                <w:highlight w:val="none"/>
              </w:rPr>
              <w:t>运行情况</w:t>
            </w:r>
            <w:r>
              <w:rPr>
                <w:rFonts w:hint="eastAsia" w:ascii="宋体" w:hAnsi="宋体" w:eastAsia="宋体" w:cs="宋体"/>
                <w:sz w:val="21"/>
                <w:szCs w:val="21"/>
                <w:highlight w:val="none"/>
              </w:rPr>
              <w:t>，出现监测预（报）警情况，及时核实、处置，并做好记录</w:t>
            </w:r>
          </w:p>
        </w:tc>
        <w:tc>
          <w:tcPr>
            <w:tcW w:w="4443" w:type="dxa"/>
            <w:tcBorders>
              <w:tl2br w:val="nil"/>
              <w:tr2bl w:val="nil"/>
            </w:tcBorders>
            <w:shd w:val="clear" w:color="auto" w:fill="auto"/>
            <w:vAlign w:val="center"/>
          </w:tcPr>
          <w:p>
            <w:pPr>
              <w:widowControl/>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color w:val="FF0000"/>
                <w:sz w:val="21"/>
                <w:szCs w:val="21"/>
                <w:highlight w:val="none"/>
                <w:lang w:eastAsia="zh-CN"/>
              </w:rPr>
              <w:t>跟踪</w:t>
            </w:r>
            <w:r>
              <w:rPr>
                <w:rFonts w:hint="eastAsia" w:ascii="宋体" w:hAnsi="宋体" w:eastAsia="宋体" w:cs="宋体"/>
                <w:sz w:val="21"/>
                <w:szCs w:val="21"/>
                <w:highlight w:val="none"/>
              </w:rPr>
              <w:t>安全监控系统</w:t>
            </w:r>
            <w:r>
              <w:rPr>
                <w:rFonts w:hint="eastAsia" w:ascii="宋体" w:hAnsi="宋体" w:eastAsia="宋体" w:cs="宋体"/>
                <w:color w:val="FF0000"/>
                <w:sz w:val="21"/>
                <w:szCs w:val="21"/>
                <w:highlight w:val="none"/>
                <w:lang w:eastAsia="zh-CN"/>
              </w:rPr>
              <w:t>有关参数变化</w:t>
            </w:r>
            <w:r>
              <w:rPr>
                <w:rFonts w:hint="eastAsia" w:ascii="宋体" w:hAnsi="宋体" w:eastAsia="宋体" w:cs="宋体"/>
                <w:sz w:val="21"/>
                <w:szCs w:val="21"/>
                <w:highlight w:val="none"/>
              </w:rPr>
              <w:t>情况，掌握矿井安全生产状态</w:t>
            </w:r>
          </w:p>
          <w:p>
            <w:pPr>
              <w:widowControl/>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2.及时核实、处置系统预（报）警情况并做好记录</w:t>
            </w:r>
          </w:p>
        </w:tc>
        <w:tc>
          <w:tcPr>
            <w:tcW w:w="3074" w:type="dxa"/>
            <w:tcBorders>
              <w:tl2br w:val="nil"/>
              <w:tr2bl w:val="nil"/>
            </w:tcBorders>
            <w:shd w:val="clear" w:color="auto" w:fill="auto"/>
            <w:vAlign w:val="center"/>
          </w:tcPr>
          <w:p>
            <w:pPr>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不再要求调度人员跟踪有关参数变化，只需掌握运行情况即可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866" w:hRule="atLeast"/>
          <w:jc w:val="center"/>
        </w:trPr>
        <w:tc>
          <w:tcPr>
            <w:tcW w:w="982" w:type="dxa"/>
            <w:vMerge w:val="continue"/>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color w:val="auto"/>
                <w:sz w:val="21"/>
                <w:szCs w:val="21"/>
                <w:highlight w:val="none"/>
              </w:rPr>
            </w:pPr>
          </w:p>
        </w:tc>
        <w:tc>
          <w:tcPr>
            <w:tcW w:w="1113" w:type="dxa"/>
            <w:vMerge w:val="continue"/>
            <w:tcBorders>
              <w:tl2br w:val="nil"/>
              <w:tr2bl w:val="nil"/>
            </w:tcBorders>
            <w:shd w:val="clear" w:color="auto" w:fill="auto"/>
            <w:vAlign w:val="center"/>
          </w:tcPr>
          <w:p>
            <w:pPr>
              <w:snapToGrid w:val="0"/>
              <w:jc w:val="center"/>
              <w:rPr>
                <w:rFonts w:hint="eastAsia" w:ascii="宋体" w:hAnsi="宋体" w:eastAsia="宋体" w:cs="宋体"/>
                <w:sz w:val="21"/>
                <w:szCs w:val="21"/>
                <w:highlight w:val="none"/>
              </w:rPr>
            </w:pPr>
          </w:p>
        </w:tc>
        <w:tc>
          <w:tcPr>
            <w:tcW w:w="4304" w:type="dxa"/>
            <w:tcBorders>
              <w:tl2br w:val="nil"/>
              <w:tr2bl w:val="nil"/>
            </w:tcBorders>
            <w:shd w:val="clear" w:color="auto" w:fill="auto"/>
            <w:vAlign w:val="center"/>
          </w:tcPr>
          <w:p>
            <w:pPr>
              <w:widowControl/>
              <w:adjustRightInd w:val="0"/>
              <w:snapToGrid w:val="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矿调度室设置图像监视系统的终端显示装置，</w:t>
            </w:r>
            <w:r>
              <w:rPr>
                <w:rFonts w:hint="eastAsia" w:ascii="宋体" w:hAnsi="宋体" w:eastAsia="宋体" w:cs="宋体"/>
                <w:color w:val="0000FF"/>
                <w:kern w:val="0"/>
                <w:sz w:val="21"/>
                <w:szCs w:val="21"/>
                <w:highlight w:val="none"/>
              </w:rPr>
              <w:t>且运行正常，并对关键环节进行监视，</w:t>
            </w:r>
            <w:r>
              <w:rPr>
                <w:rFonts w:hint="eastAsia" w:ascii="宋体" w:hAnsi="宋体" w:eastAsia="宋体" w:cs="宋体"/>
                <w:sz w:val="21"/>
                <w:szCs w:val="21"/>
                <w:highlight w:val="none"/>
              </w:rPr>
              <w:t>实现信息的存储和查询</w:t>
            </w:r>
          </w:p>
        </w:tc>
        <w:tc>
          <w:tcPr>
            <w:tcW w:w="4443" w:type="dxa"/>
            <w:tcBorders>
              <w:tl2br w:val="nil"/>
              <w:tr2bl w:val="nil"/>
            </w:tcBorders>
            <w:shd w:val="clear" w:color="auto" w:fill="auto"/>
            <w:vAlign w:val="center"/>
          </w:tcPr>
          <w:p>
            <w:pPr>
              <w:widowControl/>
              <w:snapToGrid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矿调度室设置图像监视系统的终端显示装置，并实现信息的存储和查询</w:t>
            </w:r>
          </w:p>
        </w:tc>
        <w:tc>
          <w:tcPr>
            <w:tcW w:w="3074" w:type="dxa"/>
            <w:tcBorders>
              <w:tl2br w:val="nil"/>
              <w:tr2bl w:val="nil"/>
            </w:tcBorders>
            <w:shd w:val="clear" w:color="auto" w:fill="auto"/>
            <w:vAlign w:val="center"/>
          </w:tcPr>
          <w:p>
            <w:pPr>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强调了图像监视系统要运行正常，并对关键环节进行监视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713" w:hRule="atLeast"/>
          <w:jc w:val="center"/>
        </w:trPr>
        <w:tc>
          <w:tcPr>
            <w:tcW w:w="982" w:type="dxa"/>
            <w:vMerge w:val="continue"/>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color w:val="auto"/>
                <w:sz w:val="21"/>
                <w:szCs w:val="21"/>
                <w:highlight w:val="none"/>
              </w:rPr>
            </w:pPr>
          </w:p>
        </w:tc>
        <w:tc>
          <w:tcPr>
            <w:tcW w:w="1113" w:type="dxa"/>
            <w:vMerge w:val="continue"/>
            <w:tcBorders>
              <w:tl2br w:val="nil"/>
              <w:tr2bl w:val="nil"/>
            </w:tcBorders>
            <w:shd w:val="clear" w:color="auto" w:fill="auto"/>
            <w:vAlign w:val="center"/>
          </w:tcPr>
          <w:p>
            <w:pPr>
              <w:snapToGrid w:val="0"/>
              <w:jc w:val="center"/>
              <w:rPr>
                <w:rFonts w:hint="eastAsia" w:ascii="宋体" w:hAnsi="宋体" w:eastAsia="宋体" w:cs="宋体"/>
                <w:sz w:val="21"/>
                <w:szCs w:val="21"/>
                <w:highlight w:val="none"/>
              </w:rPr>
            </w:pPr>
          </w:p>
        </w:tc>
        <w:tc>
          <w:tcPr>
            <w:tcW w:w="4304" w:type="dxa"/>
            <w:tcBorders>
              <w:tl2br w:val="nil"/>
              <w:tr2bl w:val="nil"/>
            </w:tcBorders>
            <w:shd w:val="clear" w:color="auto" w:fill="auto"/>
            <w:vAlign w:val="center"/>
          </w:tcPr>
          <w:p>
            <w:pPr>
              <w:widowControl/>
              <w:snapToGrid w:val="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井工煤矿重要工作场所装备的有线调度电话应具备直通功能</w:t>
            </w:r>
          </w:p>
        </w:tc>
        <w:tc>
          <w:tcPr>
            <w:tcW w:w="4443" w:type="dxa"/>
            <w:tcBorders>
              <w:tl2br w:val="nil"/>
              <w:tr2bl w:val="nil"/>
            </w:tcBorders>
            <w:shd w:val="clear" w:color="auto" w:fill="auto"/>
            <w:vAlign w:val="center"/>
          </w:tcPr>
          <w:p>
            <w:pPr>
              <w:widowControl/>
              <w:snapToGrid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1.装备调度通信系统，与主要硐室、生产场所（露天矿为无线通信系统）、应急救援单位、医院(井口保健站、急救站)、应急物资仓库及上级部门实现有线直拨</w:t>
            </w:r>
          </w:p>
          <w:p>
            <w:pPr>
              <w:widowControl/>
              <w:snapToGrid w:val="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3.按《煤矿安全规程》规定装备与重要工作场所直通的有线调度电话</w:t>
            </w:r>
          </w:p>
        </w:tc>
        <w:tc>
          <w:tcPr>
            <w:tcW w:w="3074" w:type="dxa"/>
            <w:tcBorders>
              <w:tl2br w:val="nil"/>
              <w:tr2bl w:val="nil"/>
            </w:tcBorders>
            <w:shd w:val="clear" w:color="auto" w:fill="auto"/>
            <w:vAlign w:val="center"/>
          </w:tcPr>
          <w:p>
            <w:pPr>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不再做细致要求，看似减少了内容，实则包括但不限于旧版的相关规定</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721" w:hRule="atLeast"/>
          <w:jc w:val="center"/>
        </w:trPr>
        <w:tc>
          <w:tcPr>
            <w:tcW w:w="982" w:type="dxa"/>
            <w:vMerge w:val="continue"/>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color w:val="auto"/>
                <w:sz w:val="21"/>
                <w:szCs w:val="21"/>
                <w:highlight w:val="none"/>
              </w:rPr>
            </w:pPr>
          </w:p>
        </w:tc>
        <w:tc>
          <w:tcPr>
            <w:tcW w:w="1113" w:type="dxa"/>
            <w:tcBorders>
              <w:tl2br w:val="nil"/>
              <w:tr2bl w:val="nil"/>
            </w:tcBorders>
            <w:shd w:val="clear" w:color="auto" w:fill="auto"/>
            <w:vAlign w:val="center"/>
          </w:tcPr>
          <w:p>
            <w:pPr>
              <w:widowControl/>
              <w:snapToGrid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雨季“三防”</w:t>
            </w:r>
          </w:p>
        </w:tc>
        <w:tc>
          <w:tcPr>
            <w:tcW w:w="4304" w:type="dxa"/>
            <w:tcBorders>
              <w:tl2br w:val="nil"/>
              <w:tr2bl w:val="nil"/>
            </w:tcBorders>
            <w:shd w:val="clear" w:color="auto" w:fill="auto"/>
            <w:vAlign w:val="center"/>
          </w:tcPr>
          <w:p>
            <w:pPr>
              <w:widowControl/>
              <w:snapToGrid w:val="0"/>
              <w:jc w:val="left"/>
              <w:rPr>
                <w:rFonts w:hint="eastAsia" w:ascii="宋体" w:hAnsi="宋体" w:eastAsia="宋体" w:cs="宋体"/>
                <w:color w:val="FF0000"/>
                <w:sz w:val="21"/>
                <w:szCs w:val="21"/>
                <w:highlight w:val="none"/>
              </w:rPr>
            </w:pPr>
          </w:p>
        </w:tc>
        <w:tc>
          <w:tcPr>
            <w:tcW w:w="4443" w:type="dxa"/>
            <w:tcBorders>
              <w:tl2br w:val="nil"/>
              <w:tr2bl w:val="nil"/>
            </w:tcBorders>
            <w:shd w:val="clear" w:color="auto" w:fill="auto"/>
            <w:vAlign w:val="center"/>
          </w:tcPr>
          <w:p>
            <w:pPr>
              <w:widowControl/>
              <w:snapToGrid w:val="0"/>
              <w:jc w:val="left"/>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rPr>
              <w:t>组织落实雨季“三防”相关工作，并做好记录</w:t>
            </w:r>
          </w:p>
        </w:tc>
        <w:tc>
          <w:tcPr>
            <w:tcW w:w="3074" w:type="dxa"/>
            <w:tcBorders>
              <w:tl2br w:val="nil"/>
              <w:tr2bl w:val="nil"/>
            </w:tcBorders>
            <w:shd w:val="clear" w:color="auto" w:fill="auto"/>
            <w:vAlign w:val="center"/>
          </w:tcPr>
          <w:p>
            <w:pPr>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删除了雨季“三防”的相关要求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149" w:hRule="atLeast"/>
          <w:jc w:val="center"/>
        </w:trPr>
        <w:tc>
          <w:tcPr>
            <w:tcW w:w="982" w:type="dxa"/>
            <w:vMerge w:val="continue"/>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color w:val="auto"/>
                <w:sz w:val="21"/>
                <w:szCs w:val="21"/>
                <w:highlight w:val="none"/>
              </w:rPr>
            </w:pPr>
          </w:p>
        </w:tc>
        <w:tc>
          <w:tcPr>
            <w:tcW w:w="1113" w:type="dxa"/>
            <w:tcBorders>
              <w:tl2br w:val="nil"/>
              <w:tr2bl w:val="nil"/>
            </w:tcBorders>
            <w:shd w:val="clear" w:color="auto" w:fill="auto"/>
            <w:vAlign w:val="center"/>
          </w:tcPr>
          <w:p>
            <w:pPr>
              <w:widowControl/>
              <w:snapToGrid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人员（车辆）位置监测</w:t>
            </w:r>
          </w:p>
        </w:tc>
        <w:tc>
          <w:tcPr>
            <w:tcW w:w="4304" w:type="dxa"/>
            <w:tcBorders>
              <w:tl2br w:val="nil"/>
              <w:tr2bl w:val="nil"/>
            </w:tcBorders>
            <w:shd w:val="clear" w:color="auto" w:fill="auto"/>
            <w:vAlign w:val="center"/>
          </w:tcPr>
          <w:p>
            <w:pPr>
              <w:widowControl/>
              <w:snapToGrid w:val="0"/>
              <w:jc w:val="left"/>
              <w:rPr>
                <w:rFonts w:hint="eastAsia" w:ascii="宋体" w:hAnsi="宋体" w:eastAsia="宋体" w:cs="宋体"/>
                <w:sz w:val="21"/>
                <w:szCs w:val="21"/>
                <w:highlight w:val="none"/>
                <w:lang w:val="en-US" w:eastAsia="zh-CN"/>
              </w:rPr>
            </w:pPr>
          </w:p>
        </w:tc>
        <w:tc>
          <w:tcPr>
            <w:tcW w:w="4443" w:type="dxa"/>
            <w:tcBorders>
              <w:tl2br w:val="nil"/>
              <w:tr2bl w:val="nil"/>
            </w:tcBorders>
            <w:shd w:val="clear" w:color="auto" w:fill="auto"/>
            <w:vAlign w:val="center"/>
          </w:tcPr>
          <w:p>
            <w:pPr>
              <w:widowControl/>
              <w:snapToGrid w:val="0"/>
              <w:jc w:val="left"/>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rPr>
              <w:t>装备井下人员位置监测系统，准确显示井下总人数、人员时空分布情况，装备露天煤矿车辆定位系统。系统具有数据存储查询功能。矿调度室值班员监视人员或车辆位置等信息，填写运行日志</w:t>
            </w:r>
          </w:p>
        </w:tc>
        <w:tc>
          <w:tcPr>
            <w:tcW w:w="3074" w:type="dxa"/>
            <w:tcBorders>
              <w:tl2br w:val="nil"/>
              <w:tr2bl w:val="nil"/>
            </w:tcBorders>
            <w:shd w:val="clear" w:color="auto" w:fill="auto"/>
            <w:vAlign w:val="center"/>
          </w:tcPr>
          <w:p>
            <w:pPr>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删除了调度信息化的相关要求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866" w:hRule="atLeast"/>
          <w:jc w:val="center"/>
        </w:trPr>
        <w:tc>
          <w:tcPr>
            <w:tcW w:w="982" w:type="dxa"/>
            <w:vMerge w:val="continue"/>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color w:val="auto"/>
                <w:sz w:val="21"/>
                <w:szCs w:val="21"/>
                <w:highlight w:val="none"/>
              </w:rPr>
            </w:pPr>
          </w:p>
        </w:tc>
        <w:tc>
          <w:tcPr>
            <w:tcW w:w="1113" w:type="dxa"/>
            <w:tcBorders>
              <w:tl2br w:val="nil"/>
              <w:tr2bl w:val="nil"/>
            </w:tcBorders>
            <w:shd w:val="clear" w:color="auto" w:fill="auto"/>
            <w:vAlign w:val="center"/>
          </w:tcPr>
          <w:p>
            <w:pPr>
              <w:widowControl/>
              <w:snapToGrid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信息管理系统</w:t>
            </w:r>
          </w:p>
        </w:tc>
        <w:tc>
          <w:tcPr>
            <w:tcW w:w="4304" w:type="dxa"/>
            <w:tcBorders>
              <w:tl2br w:val="nil"/>
              <w:tr2bl w:val="nil"/>
            </w:tcBorders>
            <w:shd w:val="clear" w:color="auto" w:fill="auto"/>
            <w:vAlign w:val="center"/>
          </w:tcPr>
          <w:p>
            <w:pPr>
              <w:widowControl/>
              <w:snapToGrid w:val="0"/>
              <w:jc w:val="left"/>
              <w:rPr>
                <w:rFonts w:hint="eastAsia" w:ascii="宋体" w:hAnsi="宋体" w:eastAsia="宋体" w:cs="宋体"/>
                <w:sz w:val="21"/>
                <w:szCs w:val="21"/>
                <w:highlight w:val="none"/>
                <w:lang w:val="en-US" w:eastAsia="zh-CN"/>
              </w:rPr>
            </w:pPr>
          </w:p>
        </w:tc>
        <w:tc>
          <w:tcPr>
            <w:tcW w:w="4443" w:type="dxa"/>
            <w:tcBorders>
              <w:tl2br w:val="nil"/>
              <w:tr2bl w:val="nil"/>
            </w:tcBorders>
            <w:shd w:val="clear" w:color="auto" w:fill="auto"/>
            <w:vAlign w:val="center"/>
          </w:tcPr>
          <w:p>
            <w:pPr>
              <w:widowControl/>
              <w:snapToGrid w:val="0"/>
              <w:jc w:val="left"/>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rPr>
              <w:t>采用信息化手段对调度报表、生产安全事故统计表等数据进行处理，实现对煤矿安全生产信息跟踪、管理、预警、存储和传输功能</w:t>
            </w:r>
          </w:p>
        </w:tc>
        <w:tc>
          <w:tcPr>
            <w:tcW w:w="3074" w:type="dxa"/>
            <w:tcBorders>
              <w:tl2br w:val="nil"/>
              <w:tr2bl w:val="nil"/>
            </w:tcBorders>
            <w:shd w:val="clear" w:color="auto" w:fill="auto"/>
            <w:vAlign w:val="center"/>
          </w:tcPr>
          <w:p>
            <w:pPr>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删除了调度信息化的相关要求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430" w:hRule="atLeast"/>
          <w:jc w:val="center"/>
        </w:trPr>
        <w:tc>
          <w:tcPr>
            <w:tcW w:w="982" w:type="dxa"/>
            <w:vMerge w:val="continue"/>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color w:val="auto"/>
                <w:sz w:val="21"/>
                <w:szCs w:val="21"/>
                <w:highlight w:val="none"/>
              </w:rPr>
            </w:pPr>
          </w:p>
        </w:tc>
        <w:tc>
          <w:tcPr>
            <w:tcW w:w="1113" w:type="dxa"/>
            <w:tcBorders>
              <w:tl2br w:val="nil"/>
              <w:tr2bl w:val="nil"/>
            </w:tcBorders>
            <w:shd w:val="clear" w:color="auto" w:fill="auto"/>
            <w:vAlign w:val="center"/>
          </w:tcPr>
          <w:p>
            <w:pPr>
              <w:widowControl/>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专业</w:t>
            </w:r>
          </w:p>
          <w:p>
            <w:pPr>
              <w:widowControl/>
              <w:snapToGrid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技能</w:t>
            </w:r>
          </w:p>
        </w:tc>
        <w:tc>
          <w:tcPr>
            <w:tcW w:w="4304" w:type="dxa"/>
            <w:tcBorders>
              <w:tl2br w:val="nil"/>
              <w:tr2bl w:val="nil"/>
            </w:tcBorders>
            <w:shd w:val="clear" w:color="auto" w:fill="auto"/>
            <w:vAlign w:val="center"/>
          </w:tcPr>
          <w:p>
            <w:pPr>
              <w:widowControl/>
              <w:snapToGrid w:val="0"/>
              <w:jc w:val="left"/>
              <w:rPr>
                <w:rFonts w:hint="eastAsia" w:ascii="宋体" w:hAnsi="宋体" w:eastAsia="宋体" w:cs="宋体"/>
                <w:sz w:val="21"/>
                <w:szCs w:val="21"/>
                <w:highlight w:val="none"/>
                <w:lang w:val="en-US" w:eastAsia="zh-CN"/>
              </w:rPr>
            </w:pPr>
          </w:p>
        </w:tc>
        <w:tc>
          <w:tcPr>
            <w:tcW w:w="4443" w:type="dxa"/>
            <w:tcBorders>
              <w:tl2br w:val="nil"/>
              <w:tr2bl w:val="nil"/>
            </w:tcBorders>
            <w:shd w:val="clear" w:color="auto" w:fill="auto"/>
            <w:vAlign w:val="center"/>
          </w:tcPr>
          <w:p>
            <w:pPr>
              <w:widowControl/>
              <w:snapToGrid w:val="0"/>
              <w:jc w:val="left"/>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rPr>
              <w:t>1.调度人员要熟悉煤矿井下各大生产系统、采掘工艺和头面数量、重点工程情况、矿井灾害情况；掌握生产作业计划、生产过程中的动态变化，协调组织生产；具备应急处置能力；</w:t>
            </w:r>
          </w:p>
          <w:p>
            <w:pPr>
              <w:widowControl/>
              <w:snapToGrid w:val="0"/>
              <w:jc w:val="left"/>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rPr>
              <w:t>2.人员经培训合格，持证上岗</w:t>
            </w:r>
          </w:p>
        </w:tc>
        <w:tc>
          <w:tcPr>
            <w:tcW w:w="3074" w:type="dxa"/>
            <w:tcBorders>
              <w:tl2br w:val="nil"/>
              <w:tr2bl w:val="nil"/>
            </w:tcBorders>
            <w:shd w:val="clear" w:color="auto" w:fill="auto"/>
            <w:vAlign w:val="center"/>
          </w:tcPr>
          <w:p>
            <w:pPr>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删除了职工素质及岗位规范的相关要求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721" w:hRule="atLeast"/>
          <w:jc w:val="center"/>
        </w:trPr>
        <w:tc>
          <w:tcPr>
            <w:tcW w:w="982" w:type="dxa"/>
            <w:vMerge w:val="continue"/>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color w:val="auto"/>
                <w:sz w:val="21"/>
                <w:szCs w:val="21"/>
                <w:highlight w:val="none"/>
              </w:rPr>
            </w:pPr>
          </w:p>
        </w:tc>
        <w:tc>
          <w:tcPr>
            <w:tcW w:w="1113" w:type="dxa"/>
            <w:tcBorders>
              <w:tl2br w:val="nil"/>
              <w:tr2bl w:val="nil"/>
            </w:tcBorders>
            <w:shd w:val="clear" w:color="auto" w:fill="auto"/>
            <w:vAlign w:val="center"/>
          </w:tcPr>
          <w:p>
            <w:pPr>
              <w:widowControl/>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规范</w:t>
            </w:r>
          </w:p>
          <w:p>
            <w:pPr>
              <w:widowControl/>
              <w:snapToGrid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作业</w:t>
            </w:r>
          </w:p>
        </w:tc>
        <w:tc>
          <w:tcPr>
            <w:tcW w:w="4304" w:type="dxa"/>
            <w:tcBorders>
              <w:tl2br w:val="nil"/>
              <w:tr2bl w:val="nil"/>
            </w:tcBorders>
            <w:shd w:val="clear" w:color="auto" w:fill="auto"/>
            <w:vAlign w:val="center"/>
          </w:tcPr>
          <w:p>
            <w:pPr>
              <w:widowControl/>
              <w:snapToGrid w:val="0"/>
              <w:jc w:val="left"/>
              <w:rPr>
                <w:rFonts w:hint="eastAsia" w:ascii="宋体" w:hAnsi="宋体" w:eastAsia="宋体" w:cs="宋体"/>
                <w:sz w:val="21"/>
                <w:szCs w:val="21"/>
                <w:highlight w:val="none"/>
                <w:lang w:val="en-US" w:eastAsia="zh-CN"/>
              </w:rPr>
            </w:pPr>
          </w:p>
        </w:tc>
        <w:tc>
          <w:tcPr>
            <w:tcW w:w="4443" w:type="dxa"/>
            <w:tcBorders>
              <w:tl2br w:val="nil"/>
              <w:tr2bl w:val="nil"/>
            </w:tcBorders>
            <w:shd w:val="clear" w:color="auto" w:fill="auto"/>
            <w:vAlign w:val="center"/>
          </w:tcPr>
          <w:p>
            <w:pPr>
              <w:widowControl/>
              <w:snapToGrid w:val="0"/>
              <w:jc w:val="left"/>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rPr>
              <w:t>1.严格执行岗位安全生产责任制；</w:t>
            </w:r>
          </w:p>
          <w:p>
            <w:pPr>
              <w:widowControl/>
              <w:snapToGrid w:val="0"/>
              <w:jc w:val="left"/>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rPr>
              <w:t>2.无“三违”行为</w:t>
            </w:r>
          </w:p>
        </w:tc>
        <w:tc>
          <w:tcPr>
            <w:tcW w:w="3074" w:type="dxa"/>
            <w:tcBorders>
              <w:tl2br w:val="nil"/>
              <w:tr2bl w:val="nil"/>
            </w:tcBorders>
            <w:shd w:val="clear" w:color="auto" w:fill="auto"/>
            <w:vAlign w:val="center"/>
          </w:tcPr>
          <w:p>
            <w:pPr>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删除了职工素质及岗位规范的相关要求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124" w:hRule="atLeast"/>
          <w:jc w:val="center"/>
        </w:trPr>
        <w:tc>
          <w:tcPr>
            <w:tcW w:w="982" w:type="dxa"/>
            <w:vMerge w:val="restart"/>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二、应急管理（40分）</w:t>
            </w:r>
          </w:p>
        </w:tc>
        <w:tc>
          <w:tcPr>
            <w:tcW w:w="1113" w:type="dxa"/>
            <w:tcBorders>
              <w:tl2br w:val="nil"/>
              <w:tr2bl w:val="nil"/>
            </w:tcBorders>
            <w:shd w:val="clear" w:color="auto" w:fill="auto"/>
            <w:vAlign w:val="center"/>
          </w:tcPr>
          <w:p>
            <w:pPr>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制度建设</w:t>
            </w:r>
          </w:p>
        </w:tc>
        <w:tc>
          <w:tcPr>
            <w:tcW w:w="4304" w:type="dxa"/>
            <w:tcBorders>
              <w:tl2br w:val="nil"/>
              <w:tr2bl w:val="nil"/>
            </w:tcBorders>
            <w:shd w:val="clear" w:color="auto" w:fill="auto"/>
            <w:vAlign w:val="center"/>
          </w:tcPr>
          <w:p>
            <w:pPr>
              <w:snapToGrid w:val="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制定并执行应急管理制度：内容涵盖事故预警、应急值守、信息报告、</w:t>
            </w:r>
            <w:r>
              <w:rPr>
                <w:rFonts w:hint="eastAsia" w:ascii="宋体" w:hAnsi="宋体" w:eastAsia="宋体" w:cs="宋体"/>
                <w:color w:val="0000FF"/>
                <w:kern w:val="0"/>
                <w:sz w:val="21"/>
                <w:szCs w:val="21"/>
                <w:highlight w:val="none"/>
              </w:rPr>
              <w:t>现场处置、</w:t>
            </w:r>
            <w:r>
              <w:rPr>
                <w:rFonts w:hint="eastAsia" w:ascii="宋体" w:hAnsi="宋体" w:eastAsia="宋体" w:cs="宋体"/>
                <w:sz w:val="21"/>
                <w:szCs w:val="21"/>
                <w:highlight w:val="none"/>
              </w:rPr>
              <w:t>应急投入、</w:t>
            </w:r>
            <w:r>
              <w:rPr>
                <w:rFonts w:hint="eastAsia" w:ascii="宋体" w:hAnsi="宋体" w:eastAsia="宋体" w:cs="宋体"/>
                <w:color w:val="0000FF"/>
                <w:kern w:val="0"/>
                <w:sz w:val="21"/>
                <w:szCs w:val="21"/>
                <w:highlight w:val="none"/>
              </w:rPr>
              <w:t>救援装备和物资储备</w:t>
            </w:r>
            <w:r>
              <w:rPr>
                <w:rFonts w:hint="eastAsia" w:ascii="宋体" w:hAnsi="宋体" w:eastAsia="宋体" w:cs="宋体"/>
                <w:sz w:val="21"/>
                <w:szCs w:val="21"/>
                <w:highlight w:val="none"/>
              </w:rPr>
              <w:t>、安全避险设施管理和使用</w:t>
            </w:r>
          </w:p>
        </w:tc>
        <w:tc>
          <w:tcPr>
            <w:tcW w:w="4443" w:type="dxa"/>
            <w:tcBorders>
              <w:tl2br w:val="nil"/>
              <w:tr2bl w:val="nil"/>
            </w:tcBorders>
            <w:shd w:val="clear" w:color="auto" w:fill="auto"/>
            <w:vAlign w:val="center"/>
          </w:tcPr>
          <w:p>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建立健全并严格执行以下制度：</w:t>
            </w:r>
          </w:p>
          <w:p>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1.事故</w:t>
            </w:r>
            <w:r>
              <w:rPr>
                <w:rFonts w:hint="eastAsia" w:ascii="宋体" w:hAnsi="宋体" w:eastAsia="宋体" w:cs="宋体"/>
                <w:color w:val="FF0000"/>
                <w:sz w:val="21"/>
                <w:szCs w:val="21"/>
                <w:highlight w:val="none"/>
              </w:rPr>
              <w:t>监测与</w:t>
            </w:r>
            <w:r>
              <w:rPr>
                <w:rFonts w:hint="eastAsia" w:ascii="宋体" w:hAnsi="宋体" w:eastAsia="宋体" w:cs="宋体"/>
                <w:sz w:val="21"/>
                <w:szCs w:val="21"/>
                <w:highlight w:val="none"/>
              </w:rPr>
              <w:t>预警制度；</w:t>
            </w:r>
          </w:p>
          <w:p>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2.应急值守制度；</w:t>
            </w:r>
          </w:p>
          <w:p>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3.应急信息报告</w:t>
            </w:r>
            <w:r>
              <w:rPr>
                <w:rFonts w:hint="eastAsia" w:ascii="宋体" w:hAnsi="宋体" w:eastAsia="宋体" w:cs="宋体"/>
                <w:color w:val="FF0000"/>
                <w:sz w:val="21"/>
                <w:szCs w:val="21"/>
                <w:highlight w:val="none"/>
              </w:rPr>
              <w:t>和传递</w:t>
            </w:r>
            <w:r>
              <w:rPr>
                <w:rFonts w:hint="eastAsia" w:ascii="宋体" w:hAnsi="宋体" w:eastAsia="宋体" w:cs="宋体"/>
                <w:sz w:val="21"/>
                <w:szCs w:val="21"/>
                <w:highlight w:val="none"/>
              </w:rPr>
              <w:t>制度；</w:t>
            </w:r>
          </w:p>
          <w:p>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4.应急投入</w:t>
            </w:r>
            <w:r>
              <w:rPr>
                <w:rFonts w:hint="eastAsia" w:ascii="宋体" w:hAnsi="宋体" w:eastAsia="宋体" w:cs="宋体"/>
                <w:color w:val="FF0000"/>
                <w:sz w:val="21"/>
                <w:szCs w:val="21"/>
                <w:highlight w:val="none"/>
              </w:rPr>
              <w:t>及资源保障</w:t>
            </w:r>
            <w:r>
              <w:rPr>
                <w:rFonts w:hint="eastAsia" w:ascii="宋体" w:hAnsi="宋体" w:eastAsia="宋体" w:cs="宋体"/>
                <w:sz w:val="21"/>
                <w:szCs w:val="21"/>
                <w:highlight w:val="none"/>
              </w:rPr>
              <w:t>制度；</w:t>
            </w:r>
          </w:p>
          <w:p>
            <w:pPr>
              <w:snapToGrid w:val="0"/>
              <w:jc w:val="left"/>
              <w:rPr>
                <w:rFonts w:hint="eastAsia" w:ascii="宋体" w:hAnsi="宋体" w:eastAsia="宋体" w:cs="宋体"/>
                <w:color w:val="FF0000"/>
                <w:sz w:val="21"/>
                <w:szCs w:val="21"/>
                <w:highlight w:val="none"/>
              </w:rPr>
            </w:pPr>
            <w:r>
              <w:rPr>
                <w:rFonts w:hint="eastAsia" w:ascii="宋体" w:hAnsi="宋体" w:eastAsia="宋体" w:cs="宋体"/>
                <w:sz w:val="21"/>
                <w:szCs w:val="21"/>
                <w:highlight w:val="none"/>
              </w:rPr>
              <w:t>5.</w:t>
            </w:r>
            <w:r>
              <w:rPr>
                <w:rFonts w:hint="eastAsia" w:ascii="宋体" w:hAnsi="宋体" w:eastAsia="宋体" w:cs="宋体"/>
                <w:color w:val="FF0000"/>
                <w:sz w:val="21"/>
                <w:szCs w:val="21"/>
                <w:highlight w:val="none"/>
              </w:rPr>
              <w:t>应急救援预案管理制度；</w:t>
            </w:r>
          </w:p>
          <w:p>
            <w:pPr>
              <w:snapToGrid w:val="0"/>
              <w:jc w:val="left"/>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rPr>
              <w:t>6.应急演练制度；</w:t>
            </w:r>
          </w:p>
          <w:p>
            <w:pPr>
              <w:snapToGrid w:val="0"/>
              <w:jc w:val="left"/>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rPr>
              <w:t>7.应急救援队伍管理制度；</w:t>
            </w:r>
          </w:p>
          <w:p>
            <w:pPr>
              <w:snapToGrid w:val="0"/>
              <w:jc w:val="left"/>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rPr>
              <w:t>8.应急物资装备管理制度；</w:t>
            </w:r>
          </w:p>
          <w:p>
            <w:pPr>
              <w:snapToGrid w:val="0"/>
              <w:jc w:val="left"/>
              <w:rPr>
                <w:rFonts w:hint="eastAsia" w:ascii="宋体" w:hAnsi="宋体" w:eastAsia="宋体" w:cs="宋体"/>
                <w:color w:val="FF0000"/>
                <w:sz w:val="21"/>
                <w:szCs w:val="21"/>
                <w:highlight w:val="none"/>
              </w:rPr>
            </w:pPr>
            <w:r>
              <w:rPr>
                <w:rFonts w:hint="eastAsia" w:ascii="宋体" w:hAnsi="宋体" w:eastAsia="宋体" w:cs="宋体"/>
                <w:sz w:val="21"/>
                <w:szCs w:val="21"/>
                <w:highlight w:val="none"/>
              </w:rPr>
              <w:t>9.安全避险设施管理和使用制度；</w:t>
            </w:r>
          </w:p>
          <w:p>
            <w:pPr>
              <w:snapToGrid w:val="0"/>
              <w:jc w:val="left"/>
              <w:rPr>
                <w:rFonts w:hint="eastAsia" w:ascii="宋体" w:hAnsi="宋体" w:eastAsia="宋体" w:cs="宋体"/>
                <w:sz w:val="21"/>
                <w:szCs w:val="21"/>
                <w:highlight w:val="none"/>
                <w:lang w:val="en-US" w:eastAsia="zh-CN"/>
              </w:rPr>
            </w:pPr>
            <w:r>
              <w:rPr>
                <w:rFonts w:hint="eastAsia" w:ascii="宋体" w:hAnsi="宋体" w:eastAsia="宋体" w:cs="宋体"/>
                <w:color w:val="FF0000"/>
                <w:sz w:val="21"/>
                <w:szCs w:val="21"/>
                <w:highlight w:val="none"/>
              </w:rPr>
              <w:t>10.应急资料档案管理制度</w:t>
            </w:r>
          </w:p>
        </w:tc>
        <w:tc>
          <w:tcPr>
            <w:tcW w:w="3074" w:type="dxa"/>
            <w:tcBorders>
              <w:tl2br w:val="nil"/>
              <w:tr2bl w:val="nil"/>
            </w:tcBorders>
            <w:shd w:val="clear" w:color="auto" w:fill="auto"/>
            <w:vAlign w:val="center"/>
          </w:tcPr>
          <w:p>
            <w:pPr>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新标准只需涵盖相关内容即可，删除了应急救援预案管理制度、演练制度、急救援队伍管理制度、应急物资装备管理制度等</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559" w:hRule="atLeast"/>
          <w:jc w:val="center"/>
        </w:trPr>
        <w:tc>
          <w:tcPr>
            <w:tcW w:w="982" w:type="dxa"/>
            <w:vMerge w:val="continue"/>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color w:val="auto"/>
                <w:sz w:val="21"/>
                <w:szCs w:val="21"/>
                <w:highlight w:val="none"/>
              </w:rPr>
            </w:pPr>
          </w:p>
        </w:tc>
        <w:tc>
          <w:tcPr>
            <w:tcW w:w="1113" w:type="dxa"/>
            <w:vMerge w:val="restart"/>
            <w:tcBorders>
              <w:tl2br w:val="nil"/>
              <w:tr2bl w:val="nil"/>
            </w:tcBorders>
            <w:shd w:val="clear" w:color="auto" w:fill="auto"/>
            <w:vAlign w:val="center"/>
          </w:tcPr>
          <w:p>
            <w:pPr>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应急保障</w:t>
            </w:r>
          </w:p>
        </w:tc>
        <w:tc>
          <w:tcPr>
            <w:tcW w:w="4304" w:type="dxa"/>
            <w:tcBorders>
              <w:tl2br w:val="nil"/>
              <w:tr2bl w:val="nil"/>
            </w:tcBorders>
            <w:shd w:val="clear" w:color="auto" w:fill="auto"/>
            <w:vAlign w:val="center"/>
          </w:tcPr>
          <w:p>
            <w:pPr>
              <w:snapToGrid w:val="0"/>
              <w:rPr>
                <w:rFonts w:hint="eastAsia" w:ascii="宋体" w:hAnsi="宋体" w:eastAsia="宋体" w:cs="宋体"/>
                <w:color w:val="0000FF"/>
                <w:kern w:val="0"/>
                <w:sz w:val="21"/>
                <w:szCs w:val="21"/>
                <w:highlight w:val="none"/>
                <w:lang w:val="zh-CN"/>
              </w:rPr>
            </w:pPr>
            <w:r>
              <w:rPr>
                <w:rFonts w:hint="eastAsia" w:ascii="宋体" w:hAnsi="宋体" w:eastAsia="宋体" w:cs="宋体"/>
                <w:kern w:val="0"/>
                <w:sz w:val="21"/>
                <w:szCs w:val="21"/>
                <w:highlight w:val="none"/>
              </w:rPr>
              <w:t>1.</w:t>
            </w:r>
            <w:r>
              <w:rPr>
                <w:rFonts w:hint="eastAsia" w:ascii="宋体" w:hAnsi="宋体" w:eastAsia="宋体" w:cs="宋体"/>
                <w:kern w:val="0"/>
                <w:sz w:val="21"/>
                <w:szCs w:val="21"/>
                <w:highlight w:val="none"/>
                <w:lang w:val="zh-CN"/>
              </w:rPr>
              <w:t>有固定的应急救援指挥场所，</w:t>
            </w:r>
            <w:r>
              <w:rPr>
                <w:rFonts w:hint="eastAsia" w:ascii="宋体" w:hAnsi="宋体" w:eastAsia="宋体" w:cs="宋体"/>
                <w:color w:val="0000FF"/>
                <w:kern w:val="0"/>
                <w:sz w:val="21"/>
                <w:szCs w:val="21"/>
                <w:highlight w:val="none"/>
                <w:lang w:val="zh-CN"/>
              </w:rPr>
              <w:t>满足应急指挥需求；</w:t>
            </w:r>
          </w:p>
          <w:p>
            <w:pPr>
              <w:snapToGrid w:val="0"/>
              <w:rPr>
                <w:rFonts w:hint="eastAsia" w:ascii="宋体" w:hAnsi="宋体" w:eastAsia="宋体" w:cs="宋体"/>
                <w:color w:val="0000FF"/>
                <w:kern w:val="0"/>
                <w:sz w:val="21"/>
                <w:szCs w:val="21"/>
                <w:highlight w:val="none"/>
              </w:rPr>
            </w:pPr>
            <w:r>
              <w:rPr>
                <w:rFonts w:hint="eastAsia" w:ascii="宋体" w:hAnsi="宋体" w:eastAsia="宋体" w:cs="宋体"/>
                <w:sz w:val="21"/>
                <w:szCs w:val="21"/>
                <w:highlight w:val="none"/>
              </w:rPr>
              <w:t>2.配备应急救援物资、装备、设施，齐全完好，并按规定定期检查</w:t>
            </w:r>
            <w:r>
              <w:rPr>
                <w:rFonts w:hint="eastAsia" w:ascii="宋体" w:hAnsi="宋体" w:eastAsia="宋体" w:cs="宋体"/>
                <w:color w:val="0000FF"/>
                <w:kern w:val="0"/>
                <w:sz w:val="21"/>
                <w:szCs w:val="21"/>
                <w:highlight w:val="none"/>
              </w:rPr>
              <w:t>补充；</w:t>
            </w:r>
          </w:p>
          <w:p>
            <w:pPr>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3.有可靠的信息通信和传递系统，</w:t>
            </w:r>
            <w:r>
              <w:rPr>
                <w:rFonts w:hint="eastAsia" w:ascii="宋体" w:hAnsi="宋体" w:eastAsia="宋体" w:cs="宋体"/>
                <w:color w:val="0000FF"/>
                <w:kern w:val="0"/>
                <w:sz w:val="21"/>
                <w:szCs w:val="21"/>
                <w:highlight w:val="none"/>
                <w:lang w:val="zh-CN"/>
              </w:rPr>
              <w:t>有</w:t>
            </w:r>
            <w:r>
              <w:rPr>
                <w:rFonts w:hint="eastAsia" w:ascii="宋体" w:hAnsi="宋体" w:eastAsia="宋体" w:cs="宋体"/>
                <w:sz w:val="21"/>
                <w:szCs w:val="21"/>
                <w:highlight w:val="none"/>
              </w:rPr>
              <w:t>最新的内部和外部应急响应通讯录；</w:t>
            </w:r>
          </w:p>
          <w:p>
            <w:pPr>
              <w:snapToGrid w:val="0"/>
              <w:rPr>
                <w:rFonts w:hint="eastAsia" w:ascii="宋体" w:hAnsi="宋体" w:eastAsia="宋体" w:cs="宋体"/>
                <w:strike/>
                <w:kern w:val="2"/>
                <w:sz w:val="21"/>
                <w:szCs w:val="21"/>
                <w:highlight w:val="none"/>
                <w:lang w:val="en-US" w:eastAsia="zh-CN" w:bidi="ar-SA"/>
              </w:rPr>
            </w:pPr>
            <w:r>
              <w:rPr>
                <w:rFonts w:hint="eastAsia" w:ascii="宋体" w:hAnsi="宋体" w:eastAsia="宋体" w:cs="宋体"/>
                <w:sz w:val="21"/>
                <w:szCs w:val="21"/>
                <w:highlight w:val="none"/>
              </w:rPr>
              <w:t>4.配置必需的急救器材和药品；与就近的医疗机构签订急救协议</w:t>
            </w:r>
          </w:p>
        </w:tc>
        <w:tc>
          <w:tcPr>
            <w:tcW w:w="4443" w:type="dxa"/>
            <w:tcBorders>
              <w:tl2br w:val="nil"/>
              <w:tr2bl w:val="nil"/>
            </w:tcBorders>
            <w:shd w:val="clear" w:color="auto" w:fill="auto"/>
            <w:vAlign w:val="center"/>
          </w:tcPr>
          <w:p>
            <w:pPr>
              <w:snapToGrid w:val="0"/>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有固定的应急救援指挥场所</w:t>
            </w:r>
          </w:p>
          <w:p>
            <w:pPr>
              <w:snapToGrid w:val="0"/>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1.配备应急救援物资、装备或设施，建立台账，按规定</w:t>
            </w:r>
            <w:r>
              <w:rPr>
                <w:rFonts w:hint="eastAsia" w:ascii="宋体" w:hAnsi="宋体" w:eastAsia="宋体" w:cs="宋体"/>
                <w:color w:val="FF0000"/>
                <w:kern w:val="0"/>
                <w:sz w:val="21"/>
                <w:szCs w:val="21"/>
                <w:highlight w:val="none"/>
                <w:lang w:val="zh-CN"/>
              </w:rPr>
              <w:t>储存、维护、保养、更新、</w:t>
            </w:r>
            <w:r>
              <w:rPr>
                <w:rFonts w:hint="eastAsia" w:ascii="宋体" w:hAnsi="宋体" w:eastAsia="宋体" w:cs="宋体"/>
                <w:kern w:val="0"/>
                <w:sz w:val="21"/>
                <w:szCs w:val="21"/>
                <w:highlight w:val="none"/>
                <w:lang w:val="zh-CN"/>
              </w:rPr>
              <w:t>定期检查等；</w:t>
            </w:r>
          </w:p>
          <w:p>
            <w:pPr>
              <w:snapToGrid w:val="0"/>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2.有可靠的信息通信和传递系统，</w:t>
            </w:r>
            <w:r>
              <w:rPr>
                <w:rFonts w:hint="eastAsia" w:ascii="宋体" w:hAnsi="宋体" w:eastAsia="宋体" w:cs="宋体"/>
                <w:color w:val="FF0000"/>
                <w:kern w:val="0"/>
                <w:sz w:val="21"/>
                <w:szCs w:val="21"/>
                <w:highlight w:val="none"/>
                <w:lang w:val="zh-CN"/>
              </w:rPr>
              <w:t>保持</w:t>
            </w:r>
            <w:r>
              <w:rPr>
                <w:rFonts w:hint="eastAsia" w:ascii="宋体" w:hAnsi="宋体" w:eastAsia="宋体" w:cs="宋体"/>
                <w:kern w:val="0"/>
                <w:sz w:val="21"/>
                <w:szCs w:val="21"/>
                <w:highlight w:val="none"/>
                <w:lang w:val="zh-CN"/>
              </w:rPr>
              <w:t>最新的内部和外部应急响应通讯录；</w:t>
            </w:r>
          </w:p>
          <w:p>
            <w:pPr>
              <w:snapToGrid w:val="0"/>
              <w:rPr>
                <w:rFonts w:hint="eastAsia" w:ascii="宋体" w:hAnsi="宋体" w:eastAsia="宋体" w:cs="宋体"/>
                <w:color w:val="FF0000"/>
                <w:kern w:val="0"/>
                <w:sz w:val="21"/>
                <w:szCs w:val="21"/>
                <w:highlight w:val="none"/>
                <w:lang w:val="zh-CN"/>
              </w:rPr>
            </w:pPr>
            <w:r>
              <w:rPr>
                <w:rFonts w:hint="eastAsia" w:ascii="宋体" w:hAnsi="宋体" w:eastAsia="宋体" w:cs="宋体"/>
                <w:kern w:val="0"/>
                <w:sz w:val="21"/>
                <w:szCs w:val="21"/>
                <w:highlight w:val="none"/>
                <w:lang w:val="zh-CN"/>
              </w:rPr>
              <w:t>3.配置必需的急救器材和药品；与就近的医疗机构签订急救协议；</w:t>
            </w:r>
          </w:p>
          <w:p>
            <w:pPr>
              <w:snapToGrid w:val="0"/>
              <w:rPr>
                <w:rFonts w:hint="eastAsia" w:ascii="宋体" w:hAnsi="宋体" w:eastAsia="宋体" w:cs="宋体"/>
                <w:kern w:val="0"/>
                <w:sz w:val="21"/>
                <w:szCs w:val="21"/>
                <w:highlight w:val="none"/>
                <w:lang w:val="zh-CN"/>
              </w:rPr>
            </w:pPr>
            <w:r>
              <w:rPr>
                <w:rFonts w:hint="eastAsia" w:ascii="宋体" w:hAnsi="宋体" w:eastAsia="宋体" w:cs="宋体"/>
                <w:color w:val="FF0000"/>
                <w:kern w:val="0"/>
                <w:sz w:val="21"/>
                <w:szCs w:val="21"/>
                <w:highlight w:val="none"/>
                <w:lang w:val="zh-CN"/>
              </w:rPr>
              <w:t>4.建立覆盖本煤矿所有专项应急救援预案相关专业的技术专家库</w:t>
            </w:r>
          </w:p>
        </w:tc>
        <w:tc>
          <w:tcPr>
            <w:tcW w:w="3074" w:type="dxa"/>
            <w:tcBorders>
              <w:tl2br w:val="nil"/>
              <w:tr2bl w:val="nil"/>
            </w:tcBorders>
            <w:shd w:val="clear" w:color="auto" w:fill="auto"/>
            <w:vAlign w:val="center"/>
          </w:tcPr>
          <w:p>
            <w:pPr>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新增应急救援指挥场所要满足应急指挥的需要</w:t>
            </w:r>
          </w:p>
          <w:p>
            <w:pPr>
              <w:pStyle w:val="1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删除应急救援物质、装备、设施的</w:t>
            </w:r>
            <w:r>
              <w:rPr>
                <w:rFonts w:hint="eastAsia" w:ascii="宋体" w:hAnsi="宋体" w:eastAsia="宋体" w:cs="宋体"/>
                <w:color w:val="auto"/>
                <w:kern w:val="0"/>
                <w:sz w:val="21"/>
                <w:szCs w:val="21"/>
                <w:highlight w:val="none"/>
                <w:lang w:val="zh-CN"/>
              </w:rPr>
              <w:t>储存、维护、保养、更新等要求。应急响应通讯录有即可，不再特意要求保持最新。删除应急救援技术专家库。</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498" w:hRule="atLeast"/>
          <w:jc w:val="center"/>
        </w:trPr>
        <w:tc>
          <w:tcPr>
            <w:tcW w:w="982" w:type="dxa"/>
            <w:vMerge w:val="continue"/>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color w:val="auto"/>
                <w:sz w:val="21"/>
                <w:szCs w:val="21"/>
                <w:highlight w:val="none"/>
              </w:rPr>
            </w:pPr>
          </w:p>
        </w:tc>
        <w:tc>
          <w:tcPr>
            <w:tcW w:w="1113" w:type="dxa"/>
            <w:vMerge w:val="continue"/>
            <w:tcBorders>
              <w:tl2br w:val="nil"/>
              <w:tr2bl w:val="nil"/>
            </w:tcBorders>
            <w:shd w:val="clear" w:color="auto" w:fill="auto"/>
            <w:vAlign w:val="center"/>
          </w:tcPr>
          <w:p>
            <w:pPr>
              <w:widowControl/>
              <w:jc w:val="center"/>
              <w:textAlignment w:val="center"/>
              <w:rPr>
                <w:rFonts w:hint="eastAsia" w:ascii="宋体" w:hAnsi="宋体" w:eastAsia="宋体" w:cs="宋体"/>
                <w:color w:val="auto"/>
                <w:sz w:val="21"/>
                <w:szCs w:val="21"/>
                <w:highlight w:val="none"/>
              </w:rPr>
            </w:pPr>
          </w:p>
        </w:tc>
        <w:tc>
          <w:tcPr>
            <w:tcW w:w="4304" w:type="dxa"/>
            <w:tcBorders>
              <w:tl2br w:val="nil"/>
              <w:tr2bl w:val="nil"/>
            </w:tcBorders>
            <w:shd w:val="clear" w:color="auto" w:fill="auto"/>
            <w:vAlign w:val="center"/>
          </w:tcPr>
          <w:p>
            <w:pPr>
              <w:snapToGrid w:val="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有符合要求的矿山救护队为其服务。</w:t>
            </w:r>
            <w:r>
              <w:rPr>
                <w:rFonts w:hint="eastAsia" w:ascii="宋体" w:hAnsi="宋体" w:eastAsia="宋体" w:cs="宋体"/>
                <w:color w:val="0000FF"/>
                <w:kern w:val="0"/>
                <w:sz w:val="21"/>
                <w:szCs w:val="21"/>
                <w:highlight w:val="none"/>
              </w:rPr>
              <w:t>煤矿应设立专职救护队，</w:t>
            </w:r>
            <w:r>
              <w:rPr>
                <w:rFonts w:hint="eastAsia" w:ascii="宋体" w:hAnsi="宋体" w:eastAsia="宋体" w:cs="宋体"/>
                <w:sz w:val="21"/>
                <w:szCs w:val="21"/>
                <w:highlight w:val="none"/>
              </w:rPr>
              <w:t>不具备条件的，应设立兼职救护队，并与临近的专职救护队签订救护协议，兼职救护队员需经培训合格。矿山救护队到达服务煤矿时间不超过30min</w:t>
            </w:r>
          </w:p>
        </w:tc>
        <w:tc>
          <w:tcPr>
            <w:tcW w:w="4443" w:type="dxa"/>
            <w:tcBorders>
              <w:tl2br w:val="nil"/>
              <w:tr2bl w:val="nil"/>
            </w:tcBorders>
            <w:shd w:val="clear" w:color="auto" w:fill="auto"/>
            <w:vAlign w:val="center"/>
          </w:tcPr>
          <w:p>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1.煤矿有符合要求的矿山救护队为其服务</w:t>
            </w:r>
          </w:p>
          <w:p>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2.井工煤矿上级公司未设立矿山救护队或行车时间超过30min的，煤矿应设立兼职救护队，并与行车时间30min以内到达的矿山救护队签订救护协议；</w:t>
            </w:r>
          </w:p>
          <w:p>
            <w:pPr>
              <w:snapToGrid w:val="0"/>
              <w:jc w:val="left"/>
              <w:rPr>
                <w:rFonts w:hint="eastAsia" w:ascii="宋体" w:hAnsi="宋体" w:eastAsia="宋体" w:cs="宋体"/>
                <w:sz w:val="21"/>
                <w:szCs w:val="21"/>
                <w:highlight w:val="none"/>
              </w:rPr>
            </w:pPr>
            <w:r>
              <w:rPr>
                <w:rFonts w:hint="eastAsia" w:ascii="宋体" w:hAnsi="宋体" w:eastAsia="宋体" w:cs="宋体"/>
                <w:color w:val="FF0000"/>
                <w:sz w:val="21"/>
                <w:szCs w:val="21"/>
                <w:highlight w:val="none"/>
              </w:rPr>
              <w:t>3.兼职救护队按照《矿山救护规程》的相关规定配备器材和装备，实施军事化管理，器材和装备完好，定期接受专职矿山救护队的业务培训和技术指导，按照计划实施应急施救训练和演练</w:t>
            </w:r>
          </w:p>
        </w:tc>
        <w:tc>
          <w:tcPr>
            <w:tcW w:w="3074" w:type="dxa"/>
            <w:tcBorders>
              <w:tl2br w:val="nil"/>
              <w:tr2bl w:val="nil"/>
            </w:tcBorders>
            <w:shd w:val="clear" w:color="auto" w:fill="auto"/>
            <w:vAlign w:val="center"/>
          </w:tcPr>
          <w:p>
            <w:pPr>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新增煤矿要设立专职救护队，删除了对兼职救护队的部分要求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149" w:hRule="atLeast"/>
          <w:jc w:val="center"/>
        </w:trPr>
        <w:tc>
          <w:tcPr>
            <w:tcW w:w="982" w:type="dxa"/>
            <w:vMerge w:val="continue"/>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color w:val="auto"/>
                <w:sz w:val="21"/>
                <w:szCs w:val="21"/>
                <w:highlight w:val="none"/>
              </w:rPr>
            </w:pPr>
          </w:p>
        </w:tc>
        <w:tc>
          <w:tcPr>
            <w:tcW w:w="1113" w:type="dxa"/>
            <w:vMerge w:val="restart"/>
            <w:tcBorders>
              <w:tl2br w:val="nil"/>
              <w:tr2bl w:val="nil"/>
            </w:tcBorders>
            <w:shd w:val="clear" w:color="auto" w:fill="auto"/>
            <w:vAlign w:val="center"/>
          </w:tcPr>
          <w:p>
            <w:pPr>
              <w:snapToGrid w:val="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安全避险</w:t>
            </w:r>
          </w:p>
        </w:tc>
        <w:tc>
          <w:tcPr>
            <w:tcW w:w="4304" w:type="dxa"/>
            <w:tcBorders>
              <w:tl2br w:val="nil"/>
              <w:tr2bl w:val="nil"/>
            </w:tcBorders>
            <w:shd w:val="clear" w:color="auto" w:fill="auto"/>
            <w:vAlign w:val="center"/>
          </w:tcPr>
          <w:p>
            <w:pPr>
              <w:snapToGrid w:val="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按规定建立完善</w:t>
            </w:r>
            <w:r>
              <w:rPr>
                <w:rFonts w:hint="eastAsia" w:ascii="宋体" w:hAnsi="宋体" w:eastAsia="宋体" w:cs="宋体"/>
                <w:color w:val="0000FF"/>
                <w:kern w:val="0"/>
                <w:sz w:val="21"/>
                <w:szCs w:val="21"/>
                <w:highlight w:val="none"/>
              </w:rPr>
              <w:t>井下压风自救、供水施救等</w:t>
            </w:r>
            <w:r>
              <w:rPr>
                <w:rFonts w:hint="eastAsia" w:ascii="宋体" w:hAnsi="宋体" w:eastAsia="宋体" w:cs="宋体"/>
                <w:sz w:val="21"/>
                <w:szCs w:val="21"/>
                <w:highlight w:val="none"/>
              </w:rPr>
              <w:t>安全避险设施，设置井下避灾路线指示标识。</w:t>
            </w:r>
            <w:r>
              <w:rPr>
                <w:rFonts w:hint="eastAsia" w:ascii="宋体" w:hAnsi="宋体" w:eastAsia="宋体" w:cs="宋体"/>
                <w:color w:val="0000FF"/>
                <w:kern w:val="0"/>
                <w:sz w:val="21"/>
                <w:szCs w:val="21"/>
                <w:highlight w:val="none"/>
              </w:rPr>
              <w:t>安全避险系统应当随采掘工作面的变化及时调整和完善，</w:t>
            </w:r>
            <w:r>
              <w:rPr>
                <w:rFonts w:hint="eastAsia" w:ascii="宋体" w:hAnsi="宋体" w:eastAsia="宋体" w:cs="宋体"/>
                <w:sz w:val="21"/>
                <w:szCs w:val="21"/>
                <w:highlight w:val="none"/>
              </w:rPr>
              <w:t>每年由总工程师组织开展有效性评估</w:t>
            </w:r>
          </w:p>
        </w:tc>
        <w:tc>
          <w:tcPr>
            <w:tcW w:w="4443" w:type="dxa"/>
            <w:tcBorders>
              <w:tl2br w:val="nil"/>
              <w:tr2bl w:val="nil"/>
            </w:tcBorders>
            <w:shd w:val="clear" w:color="auto" w:fill="auto"/>
            <w:vAlign w:val="center"/>
          </w:tcPr>
          <w:p>
            <w:pPr>
              <w:snapToGrid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按规定建立完善井下安全避险设施，设置井下避灾路线指示标识。每年由总工程师组织开展安全避险系统有效性评估</w:t>
            </w:r>
          </w:p>
        </w:tc>
        <w:tc>
          <w:tcPr>
            <w:tcW w:w="3074" w:type="dxa"/>
            <w:tcBorders>
              <w:tl2br w:val="nil"/>
              <w:tr2bl w:val="nil"/>
            </w:tcBorders>
            <w:shd w:val="clear" w:color="auto" w:fill="auto"/>
            <w:vAlign w:val="center"/>
          </w:tcPr>
          <w:p>
            <w:pPr>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着重要求建立完善井下压风自救、供水施救等安全避险设施，安全避险系统应当随采掘工作面的变化及时调整和完善</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866" w:hRule="atLeast"/>
          <w:jc w:val="center"/>
        </w:trPr>
        <w:tc>
          <w:tcPr>
            <w:tcW w:w="982" w:type="dxa"/>
            <w:vMerge w:val="continue"/>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color w:val="auto"/>
                <w:sz w:val="21"/>
                <w:szCs w:val="21"/>
                <w:highlight w:val="none"/>
              </w:rPr>
            </w:pPr>
          </w:p>
        </w:tc>
        <w:tc>
          <w:tcPr>
            <w:tcW w:w="1113" w:type="dxa"/>
            <w:vMerge w:val="continue"/>
            <w:tcBorders>
              <w:tl2br w:val="nil"/>
              <w:tr2bl w:val="nil"/>
            </w:tcBorders>
            <w:shd w:val="clear" w:color="auto" w:fill="auto"/>
            <w:vAlign w:val="center"/>
          </w:tcPr>
          <w:p>
            <w:pPr>
              <w:widowControl/>
              <w:jc w:val="center"/>
              <w:textAlignment w:val="center"/>
              <w:rPr>
                <w:rFonts w:hint="eastAsia" w:ascii="宋体" w:hAnsi="宋体" w:eastAsia="宋体" w:cs="宋体"/>
                <w:color w:val="auto"/>
                <w:sz w:val="21"/>
                <w:szCs w:val="21"/>
                <w:highlight w:val="none"/>
              </w:rPr>
            </w:pPr>
          </w:p>
        </w:tc>
        <w:tc>
          <w:tcPr>
            <w:tcW w:w="4304" w:type="dxa"/>
            <w:tcBorders>
              <w:tl2br w:val="nil"/>
              <w:tr2bl w:val="nil"/>
            </w:tcBorders>
            <w:shd w:val="clear" w:color="auto" w:fill="auto"/>
            <w:vAlign w:val="center"/>
          </w:tcPr>
          <w:p>
            <w:pPr>
              <w:snapToGrid w:val="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井下设置应急广播系统</w:t>
            </w:r>
            <w:r>
              <w:rPr>
                <w:rFonts w:hint="eastAsia" w:ascii="宋体" w:hAnsi="宋体" w:eastAsia="宋体" w:cs="宋体"/>
                <w:color w:val="0000FF"/>
                <w:kern w:val="0"/>
                <w:sz w:val="21"/>
                <w:szCs w:val="21"/>
                <w:highlight w:val="none"/>
              </w:rPr>
              <w:t>并定期测试，作业人员</w:t>
            </w:r>
            <w:r>
              <w:rPr>
                <w:rFonts w:hint="eastAsia" w:ascii="宋体" w:hAnsi="宋体" w:eastAsia="宋体" w:cs="宋体"/>
                <w:sz w:val="21"/>
                <w:szCs w:val="21"/>
                <w:highlight w:val="none"/>
              </w:rPr>
              <w:t>能够清晰听到应急指令</w:t>
            </w:r>
          </w:p>
        </w:tc>
        <w:tc>
          <w:tcPr>
            <w:tcW w:w="4443" w:type="dxa"/>
            <w:tcBorders>
              <w:tl2br w:val="nil"/>
              <w:tr2bl w:val="nil"/>
            </w:tcBorders>
            <w:shd w:val="clear" w:color="auto" w:fill="auto"/>
            <w:vAlign w:val="center"/>
          </w:tcPr>
          <w:p>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井下设置应急广播系统，</w:t>
            </w:r>
            <w:r>
              <w:rPr>
                <w:rFonts w:hint="eastAsia" w:ascii="宋体" w:hAnsi="宋体" w:eastAsia="宋体" w:cs="宋体"/>
                <w:color w:val="FF0000"/>
                <w:sz w:val="21"/>
                <w:szCs w:val="21"/>
                <w:highlight w:val="none"/>
              </w:rPr>
              <w:t>井下人员</w:t>
            </w:r>
            <w:r>
              <w:rPr>
                <w:rFonts w:hint="eastAsia" w:ascii="宋体" w:hAnsi="宋体" w:eastAsia="宋体" w:cs="宋体"/>
                <w:sz w:val="21"/>
                <w:szCs w:val="21"/>
                <w:highlight w:val="none"/>
              </w:rPr>
              <w:t>能够清晰听到应急指令</w:t>
            </w:r>
          </w:p>
        </w:tc>
        <w:tc>
          <w:tcPr>
            <w:tcW w:w="3074" w:type="dxa"/>
            <w:tcBorders>
              <w:tl2br w:val="nil"/>
              <w:tr2bl w:val="nil"/>
            </w:tcBorders>
            <w:shd w:val="clear" w:color="auto" w:fill="auto"/>
            <w:vAlign w:val="center"/>
          </w:tcPr>
          <w:p>
            <w:pPr>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新增对应急广播系统的定期测试，缩小了能够清晰听到应急指令的人员范围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866" w:hRule="atLeast"/>
          <w:jc w:val="center"/>
        </w:trPr>
        <w:tc>
          <w:tcPr>
            <w:tcW w:w="982" w:type="dxa"/>
            <w:vMerge w:val="continue"/>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color w:val="auto"/>
                <w:sz w:val="21"/>
                <w:szCs w:val="21"/>
                <w:highlight w:val="none"/>
              </w:rPr>
            </w:pPr>
          </w:p>
        </w:tc>
        <w:tc>
          <w:tcPr>
            <w:tcW w:w="1113" w:type="dxa"/>
            <w:vMerge w:val="continue"/>
            <w:tcBorders>
              <w:tl2br w:val="nil"/>
              <w:tr2bl w:val="nil"/>
            </w:tcBorders>
            <w:shd w:val="clear" w:color="auto" w:fill="auto"/>
            <w:vAlign w:val="center"/>
          </w:tcPr>
          <w:p>
            <w:pPr>
              <w:widowControl/>
              <w:jc w:val="center"/>
              <w:textAlignment w:val="center"/>
              <w:rPr>
                <w:rFonts w:hint="eastAsia" w:ascii="宋体" w:hAnsi="宋体" w:eastAsia="宋体" w:cs="宋体"/>
                <w:color w:val="auto"/>
                <w:sz w:val="21"/>
                <w:szCs w:val="21"/>
                <w:highlight w:val="none"/>
              </w:rPr>
            </w:pPr>
          </w:p>
        </w:tc>
        <w:tc>
          <w:tcPr>
            <w:tcW w:w="4304" w:type="dxa"/>
            <w:tcBorders>
              <w:tl2br w:val="nil"/>
              <w:tr2bl w:val="nil"/>
            </w:tcBorders>
            <w:shd w:val="clear" w:color="auto" w:fill="auto"/>
            <w:vAlign w:val="center"/>
          </w:tcPr>
          <w:p>
            <w:pPr>
              <w:snapToGrid w:val="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入井人员随身携带</w:t>
            </w:r>
            <w:r>
              <w:rPr>
                <w:rFonts w:hint="eastAsia" w:ascii="宋体" w:hAnsi="宋体" w:eastAsia="宋体" w:cs="宋体"/>
                <w:color w:val="0000FF"/>
                <w:kern w:val="0"/>
                <w:sz w:val="21"/>
                <w:szCs w:val="21"/>
                <w:highlight w:val="none"/>
              </w:rPr>
              <w:t>额定防护时间不少于30min的隔绝式</w:t>
            </w:r>
            <w:r>
              <w:rPr>
                <w:rFonts w:hint="eastAsia" w:ascii="宋体" w:hAnsi="宋体" w:eastAsia="宋体" w:cs="宋体"/>
                <w:sz w:val="21"/>
                <w:szCs w:val="21"/>
                <w:highlight w:val="none"/>
              </w:rPr>
              <w:t>自救器，并能熟练使用；矿井避灾路线沿线按</w:t>
            </w:r>
            <w:r>
              <w:rPr>
                <w:rFonts w:hint="eastAsia" w:ascii="宋体" w:hAnsi="宋体" w:eastAsia="宋体" w:cs="宋体"/>
                <w:color w:val="0000FF"/>
                <w:kern w:val="0"/>
                <w:sz w:val="21"/>
                <w:szCs w:val="21"/>
                <w:highlight w:val="none"/>
              </w:rPr>
              <w:t>需要</w:t>
            </w:r>
            <w:r>
              <w:rPr>
                <w:rFonts w:hint="eastAsia" w:ascii="宋体" w:hAnsi="宋体" w:eastAsia="宋体" w:cs="宋体"/>
                <w:sz w:val="21"/>
                <w:szCs w:val="21"/>
                <w:highlight w:val="none"/>
              </w:rPr>
              <w:t>设置自救器补给站</w:t>
            </w:r>
          </w:p>
        </w:tc>
        <w:tc>
          <w:tcPr>
            <w:tcW w:w="4443" w:type="dxa"/>
            <w:tcBorders>
              <w:tl2br w:val="nil"/>
              <w:tr2bl w:val="nil"/>
            </w:tcBorders>
            <w:shd w:val="clear" w:color="auto" w:fill="auto"/>
            <w:vAlign w:val="center"/>
          </w:tcPr>
          <w:p>
            <w:pPr>
              <w:snapToGrid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按规定配置足量的自救器，入井人员随身携带，并能熟练使用；矿井避灾路线上按</w:t>
            </w:r>
            <w:r>
              <w:rPr>
                <w:rFonts w:hint="eastAsia" w:ascii="宋体" w:hAnsi="宋体" w:eastAsia="宋体" w:cs="宋体"/>
                <w:color w:val="FF0000"/>
                <w:sz w:val="21"/>
                <w:szCs w:val="21"/>
                <w:highlight w:val="none"/>
              </w:rPr>
              <w:t>需求</w:t>
            </w:r>
            <w:r>
              <w:rPr>
                <w:rFonts w:hint="eastAsia" w:ascii="宋体" w:hAnsi="宋体" w:eastAsia="宋体" w:cs="宋体"/>
                <w:sz w:val="21"/>
                <w:szCs w:val="21"/>
                <w:highlight w:val="none"/>
              </w:rPr>
              <w:t>设置自救器补给站</w:t>
            </w:r>
          </w:p>
        </w:tc>
        <w:tc>
          <w:tcPr>
            <w:tcW w:w="3074" w:type="dxa"/>
            <w:tcBorders>
              <w:tl2br w:val="nil"/>
              <w:tr2bl w:val="nil"/>
            </w:tcBorders>
            <w:shd w:val="clear" w:color="auto" w:fill="auto"/>
            <w:vAlign w:val="center"/>
          </w:tcPr>
          <w:p>
            <w:pPr>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新增自救器的要求，放宽了自救器补给站的设立标准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866" w:hRule="atLeast"/>
          <w:jc w:val="center"/>
        </w:trPr>
        <w:tc>
          <w:tcPr>
            <w:tcW w:w="982" w:type="dxa"/>
            <w:vMerge w:val="continue"/>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color w:val="auto"/>
                <w:sz w:val="21"/>
                <w:szCs w:val="21"/>
                <w:highlight w:val="none"/>
              </w:rPr>
            </w:pPr>
          </w:p>
        </w:tc>
        <w:tc>
          <w:tcPr>
            <w:tcW w:w="1113" w:type="dxa"/>
            <w:vMerge w:val="continue"/>
            <w:tcBorders>
              <w:tl2br w:val="nil"/>
              <w:tr2bl w:val="nil"/>
            </w:tcBorders>
            <w:shd w:val="clear" w:color="auto" w:fill="auto"/>
            <w:vAlign w:val="center"/>
          </w:tcPr>
          <w:p>
            <w:pPr>
              <w:widowControl/>
              <w:jc w:val="center"/>
              <w:textAlignment w:val="center"/>
              <w:rPr>
                <w:rFonts w:hint="eastAsia" w:ascii="宋体" w:hAnsi="宋体" w:eastAsia="宋体" w:cs="宋体"/>
                <w:color w:val="auto"/>
                <w:sz w:val="21"/>
                <w:szCs w:val="21"/>
                <w:highlight w:val="none"/>
              </w:rPr>
            </w:pPr>
          </w:p>
        </w:tc>
        <w:tc>
          <w:tcPr>
            <w:tcW w:w="4304" w:type="dxa"/>
            <w:tcBorders>
              <w:tl2br w:val="nil"/>
              <w:tr2bl w:val="nil"/>
            </w:tcBorders>
            <w:shd w:val="clear" w:color="auto" w:fill="auto"/>
            <w:vAlign w:val="center"/>
          </w:tcPr>
          <w:p>
            <w:pPr>
              <w:snapToGrid w:val="0"/>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val="zh-CN"/>
              </w:rPr>
              <w:t>明确授予带（跟）班人员、班组长、安检员、瓦斯检查工、调度人员的遇险处置权和现场作业人员的紧急避险权</w:t>
            </w:r>
          </w:p>
        </w:tc>
        <w:tc>
          <w:tcPr>
            <w:tcW w:w="4443" w:type="dxa"/>
            <w:tcBorders>
              <w:tl2br w:val="nil"/>
              <w:tr2bl w:val="nil"/>
            </w:tcBorders>
            <w:shd w:val="clear" w:color="auto" w:fill="auto"/>
            <w:vAlign w:val="center"/>
          </w:tcPr>
          <w:p>
            <w:pPr>
              <w:snapToGrid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rPr>
              <w:t>明确授予带（跟）班人员、班组长、安检员、瓦斯检查工、调度人员的遇险处置权和现场作业人员的紧急避险权</w:t>
            </w:r>
          </w:p>
        </w:tc>
        <w:tc>
          <w:tcPr>
            <w:tcW w:w="3074" w:type="dxa"/>
            <w:tcBorders>
              <w:tl2br w:val="nil"/>
              <w:tr2bl w:val="nil"/>
            </w:tcBorders>
            <w:shd w:val="clear" w:color="auto" w:fill="auto"/>
            <w:vAlign w:val="center"/>
          </w:tcPr>
          <w:p>
            <w:pPr>
              <w:snapToGrid w:val="0"/>
              <w:jc w:val="center"/>
              <w:rPr>
                <w:rFonts w:hint="eastAsia" w:ascii="宋体" w:hAnsi="宋体" w:eastAsia="宋体" w:cs="宋体"/>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724" w:hRule="atLeast"/>
          <w:jc w:val="center"/>
        </w:trPr>
        <w:tc>
          <w:tcPr>
            <w:tcW w:w="982" w:type="dxa"/>
            <w:vMerge w:val="continue"/>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color w:val="auto"/>
                <w:sz w:val="21"/>
                <w:szCs w:val="21"/>
                <w:highlight w:val="none"/>
              </w:rPr>
            </w:pPr>
          </w:p>
        </w:tc>
        <w:tc>
          <w:tcPr>
            <w:tcW w:w="1113" w:type="dxa"/>
            <w:vMerge w:val="restart"/>
            <w:tcBorders>
              <w:tl2br w:val="nil"/>
              <w:tr2bl w:val="nil"/>
            </w:tcBorders>
            <w:shd w:val="clear" w:color="auto" w:fill="auto"/>
            <w:vAlign w:val="center"/>
          </w:tcPr>
          <w:p>
            <w:pPr>
              <w:snapToGrid w:val="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应急预案</w:t>
            </w:r>
          </w:p>
        </w:tc>
        <w:tc>
          <w:tcPr>
            <w:tcW w:w="4304" w:type="dxa"/>
            <w:tcBorders>
              <w:tl2br w:val="nil"/>
              <w:tr2bl w:val="nil"/>
            </w:tcBorders>
            <w:shd w:val="clear" w:color="auto" w:fill="auto"/>
            <w:vAlign w:val="center"/>
          </w:tcPr>
          <w:p>
            <w:pPr>
              <w:snapToGrid w:val="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预案编制与修订：按规定编制应急救援预案，并及时修订；按规定组织应急救援预案的评审，形成书面评审结果；评审通过的应急救援预案由煤矿主要负责人签署公布，及时发放</w:t>
            </w:r>
          </w:p>
        </w:tc>
        <w:tc>
          <w:tcPr>
            <w:tcW w:w="4443" w:type="dxa"/>
            <w:tcBorders>
              <w:tl2br w:val="nil"/>
              <w:tr2bl w:val="nil"/>
            </w:tcBorders>
            <w:shd w:val="clear" w:color="auto" w:fill="auto"/>
            <w:vAlign w:val="center"/>
          </w:tcPr>
          <w:p>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1.预案编制与修订：</w:t>
            </w:r>
          </w:p>
          <w:p>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（1）按照《生产安全事故应急预案管理办法》和年度安全风险辨识评估报告编制应急救援预案，并按《生产安全事故应急条例》规定及时修订；</w:t>
            </w:r>
          </w:p>
          <w:p>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（2）按规定组织应急救援预案的评审，形成书面评审结果；评审通过的应急救援预案由煤矿主要负责人签署公布，及时发放；</w:t>
            </w:r>
          </w:p>
          <w:p>
            <w:pPr>
              <w:snapToGrid w:val="0"/>
              <w:jc w:val="left"/>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rPr>
              <w:t>（3）应急救援预案与煤矿所在地政府的生产安全事故应急救援预案相衔接</w:t>
            </w:r>
          </w:p>
          <w:p>
            <w:pPr>
              <w:pStyle w:val="11"/>
              <w:rPr>
                <w:rFonts w:hint="eastAsia" w:ascii="宋体" w:hAnsi="宋体" w:eastAsia="宋体" w:cs="宋体"/>
                <w:sz w:val="21"/>
                <w:szCs w:val="21"/>
                <w:highlight w:val="none"/>
              </w:rPr>
            </w:pPr>
            <w:r>
              <w:rPr>
                <w:rFonts w:hint="eastAsia" w:ascii="宋体" w:hAnsi="宋体" w:eastAsia="宋体" w:cs="宋体"/>
                <w:color w:val="FF0000"/>
                <w:sz w:val="21"/>
                <w:szCs w:val="21"/>
                <w:highlight w:val="none"/>
              </w:rPr>
              <w:t>2.按照应急救援预案和灾害预防与处理计划的相关内容，针对重点工作场所、重点岗位的风险特点制定应急处置卡，现场作业人员随身携带</w:t>
            </w:r>
          </w:p>
        </w:tc>
        <w:tc>
          <w:tcPr>
            <w:tcW w:w="3074" w:type="dxa"/>
            <w:tcBorders>
              <w:tl2br w:val="nil"/>
              <w:tr2bl w:val="nil"/>
            </w:tcBorders>
            <w:shd w:val="clear" w:color="auto" w:fill="auto"/>
            <w:vAlign w:val="center"/>
          </w:tcPr>
          <w:p>
            <w:pPr>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删除了与上级部门应急预案衔接的部分内容</w:t>
            </w:r>
          </w:p>
          <w:p>
            <w:pPr>
              <w:pStyle w:val="1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删除了应急处置卡的相关要求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837" w:hRule="atLeast"/>
          <w:jc w:val="center"/>
        </w:trPr>
        <w:tc>
          <w:tcPr>
            <w:tcW w:w="982" w:type="dxa"/>
            <w:vMerge w:val="continue"/>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color w:val="auto"/>
                <w:sz w:val="21"/>
                <w:szCs w:val="21"/>
                <w:highlight w:val="none"/>
              </w:rPr>
            </w:pPr>
          </w:p>
        </w:tc>
        <w:tc>
          <w:tcPr>
            <w:tcW w:w="1113" w:type="dxa"/>
            <w:vMerge w:val="continue"/>
            <w:tcBorders>
              <w:tl2br w:val="nil"/>
              <w:tr2bl w:val="nil"/>
            </w:tcBorders>
            <w:shd w:val="clear" w:color="auto" w:fill="auto"/>
            <w:vAlign w:val="center"/>
          </w:tcPr>
          <w:p>
            <w:pPr>
              <w:widowControl/>
              <w:jc w:val="center"/>
              <w:textAlignment w:val="center"/>
              <w:rPr>
                <w:rFonts w:hint="eastAsia" w:ascii="宋体" w:hAnsi="宋体" w:eastAsia="宋体" w:cs="宋体"/>
                <w:color w:val="auto"/>
                <w:sz w:val="21"/>
                <w:szCs w:val="21"/>
                <w:highlight w:val="none"/>
              </w:rPr>
            </w:pPr>
          </w:p>
        </w:tc>
        <w:tc>
          <w:tcPr>
            <w:tcW w:w="4304" w:type="dxa"/>
            <w:tcBorders>
              <w:tl2br w:val="nil"/>
              <w:tr2bl w:val="nil"/>
            </w:tcBorders>
            <w:shd w:val="clear" w:color="auto" w:fill="auto"/>
            <w:vAlign w:val="center"/>
          </w:tcPr>
          <w:p>
            <w:pPr>
              <w:snapToGrid w:val="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按分级属地管理的原则，按规定时限、程序完成应急救援预案上报并进行备案</w:t>
            </w:r>
          </w:p>
        </w:tc>
        <w:tc>
          <w:tcPr>
            <w:tcW w:w="4443" w:type="dxa"/>
            <w:tcBorders>
              <w:tl2br w:val="nil"/>
              <w:tr2bl w:val="nil"/>
            </w:tcBorders>
            <w:shd w:val="clear" w:color="auto" w:fill="auto"/>
            <w:vAlign w:val="center"/>
          </w:tcPr>
          <w:p>
            <w:pPr>
              <w:snapToGrid w:val="0"/>
              <w:jc w:val="left"/>
              <w:rPr>
                <w:rFonts w:hint="eastAsia" w:ascii="宋体" w:hAnsi="宋体" w:eastAsia="宋体" w:cs="宋体"/>
                <w:color w:val="FF0000"/>
                <w:sz w:val="21"/>
                <w:szCs w:val="21"/>
                <w:highlight w:val="none"/>
              </w:rPr>
            </w:pPr>
            <w:r>
              <w:rPr>
                <w:rFonts w:hint="eastAsia" w:ascii="宋体" w:hAnsi="宋体" w:eastAsia="宋体" w:cs="宋体"/>
                <w:sz w:val="21"/>
                <w:szCs w:val="21"/>
                <w:highlight w:val="none"/>
              </w:rPr>
              <w:t>3.按照分级属地管理的原则，按规定时限、程序完成应急救援预案上报并进行备案，</w:t>
            </w:r>
            <w:r>
              <w:rPr>
                <w:rFonts w:hint="eastAsia" w:ascii="宋体" w:hAnsi="宋体" w:eastAsia="宋体" w:cs="宋体"/>
                <w:color w:val="FF0000"/>
                <w:sz w:val="21"/>
                <w:szCs w:val="21"/>
                <w:highlight w:val="none"/>
              </w:rPr>
              <w:t>并依法向社会公布</w:t>
            </w:r>
          </w:p>
          <w:p>
            <w:pPr>
              <w:pStyle w:val="11"/>
              <w:rPr>
                <w:rFonts w:hint="eastAsia" w:ascii="宋体" w:hAnsi="宋体" w:eastAsia="宋体" w:cs="宋体"/>
                <w:sz w:val="21"/>
                <w:szCs w:val="21"/>
                <w:highlight w:val="none"/>
              </w:rPr>
            </w:pPr>
            <w:r>
              <w:rPr>
                <w:rFonts w:hint="eastAsia" w:ascii="宋体" w:hAnsi="宋体" w:eastAsia="宋体" w:cs="宋体"/>
                <w:color w:val="FF0000"/>
                <w:sz w:val="21"/>
                <w:szCs w:val="21"/>
                <w:highlight w:val="none"/>
              </w:rPr>
              <w:t>4.煤矿发生事故按规定启动应急救援预案，实施应急响应、组织应急救援；并按照规定的时限、程序上报事故信息</w:t>
            </w:r>
          </w:p>
        </w:tc>
        <w:tc>
          <w:tcPr>
            <w:tcW w:w="3074" w:type="dxa"/>
            <w:tcBorders>
              <w:tl2br w:val="nil"/>
              <w:tr2bl w:val="nil"/>
            </w:tcBorders>
            <w:shd w:val="clear" w:color="auto" w:fill="auto"/>
            <w:vAlign w:val="center"/>
          </w:tcPr>
          <w:p>
            <w:pPr>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不再要求应急预案向社会公布</w:t>
            </w:r>
          </w:p>
          <w:p>
            <w:pPr>
              <w:pStyle w:val="1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删除了事故上报的相关要求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721" w:hRule="atLeast"/>
          <w:jc w:val="center"/>
        </w:trPr>
        <w:tc>
          <w:tcPr>
            <w:tcW w:w="982" w:type="dxa"/>
            <w:vMerge w:val="continue"/>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color w:val="auto"/>
                <w:sz w:val="21"/>
                <w:szCs w:val="21"/>
                <w:highlight w:val="none"/>
              </w:rPr>
            </w:pPr>
          </w:p>
        </w:tc>
        <w:tc>
          <w:tcPr>
            <w:tcW w:w="1113" w:type="dxa"/>
            <w:vMerge w:val="restart"/>
            <w:tcBorders>
              <w:tl2br w:val="nil"/>
              <w:tr2bl w:val="nil"/>
            </w:tcBorders>
            <w:shd w:val="clear" w:color="auto" w:fill="auto"/>
            <w:vAlign w:val="center"/>
          </w:tcPr>
          <w:p>
            <w:pPr>
              <w:snapToGrid w:val="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应急演练</w:t>
            </w:r>
          </w:p>
        </w:tc>
        <w:tc>
          <w:tcPr>
            <w:tcW w:w="4304" w:type="dxa"/>
            <w:tcBorders>
              <w:tl2br w:val="nil"/>
              <w:tr2bl w:val="nil"/>
            </w:tcBorders>
            <w:shd w:val="clear" w:color="auto" w:fill="auto"/>
            <w:vAlign w:val="center"/>
          </w:tcPr>
          <w:p>
            <w:pPr>
              <w:snapToGrid w:val="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有应急演练规划、年度演练计划和演练工作方案，内容符合相关规定</w:t>
            </w:r>
          </w:p>
        </w:tc>
        <w:tc>
          <w:tcPr>
            <w:tcW w:w="4443" w:type="dxa"/>
            <w:tcBorders>
              <w:tl2br w:val="nil"/>
              <w:tr2bl w:val="nil"/>
            </w:tcBorders>
            <w:shd w:val="clear" w:color="auto" w:fill="auto"/>
            <w:vAlign w:val="center"/>
          </w:tcPr>
          <w:p>
            <w:pPr>
              <w:pStyle w:val="1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1.有应急演练规划、年度计划和演练工作方案，内容符合相关规定</w:t>
            </w:r>
          </w:p>
        </w:tc>
        <w:tc>
          <w:tcPr>
            <w:tcW w:w="3074" w:type="dxa"/>
            <w:tcBorders>
              <w:tl2br w:val="nil"/>
              <w:tr2bl w:val="nil"/>
            </w:tcBorders>
            <w:shd w:val="clear" w:color="auto" w:fill="auto"/>
            <w:vAlign w:val="center"/>
          </w:tcPr>
          <w:p>
            <w:pPr>
              <w:snapToGrid w:val="0"/>
              <w:jc w:val="center"/>
              <w:rPr>
                <w:rFonts w:hint="eastAsia" w:ascii="宋体" w:hAnsi="宋体" w:eastAsia="宋体" w:cs="宋体"/>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944" w:hRule="atLeast"/>
          <w:jc w:val="center"/>
        </w:trPr>
        <w:tc>
          <w:tcPr>
            <w:tcW w:w="982" w:type="dxa"/>
            <w:vMerge w:val="continue"/>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color w:val="auto"/>
                <w:sz w:val="21"/>
                <w:szCs w:val="21"/>
                <w:highlight w:val="none"/>
              </w:rPr>
            </w:pPr>
          </w:p>
        </w:tc>
        <w:tc>
          <w:tcPr>
            <w:tcW w:w="1113" w:type="dxa"/>
            <w:vMerge w:val="continue"/>
            <w:tcBorders>
              <w:tl2br w:val="nil"/>
              <w:tr2bl w:val="nil"/>
            </w:tcBorders>
            <w:shd w:val="clear" w:color="auto" w:fill="auto"/>
            <w:vAlign w:val="center"/>
          </w:tcPr>
          <w:p>
            <w:pPr>
              <w:widowControl/>
              <w:jc w:val="center"/>
              <w:textAlignment w:val="center"/>
              <w:rPr>
                <w:rFonts w:hint="eastAsia" w:ascii="宋体" w:hAnsi="宋体" w:eastAsia="宋体" w:cs="宋体"/>
                <w:color w:val="auto"/>
                <w:sz w:val="21"/>
                <w:szCs w:val="21"/>
                <w:highlight w:val="none"/>
              </w:rPr>
            </w:pPr>
          </w:p>
        </w:tc>
        <w:tc>
          <w:tcPr>
            <w:tcW w:w="4304" w:type="dxa"/>
            <w:tcBorders>
              <w:tl2br w:val="nil"/>
              <w:tr2bl w:val="nil"/>
            </w:tcBorders>
            <w:shd w:val="clear" w:color="auto" w:fill="auto"/>
            <w:vAlign w:val="center"/>
          </w:tcPr>
          <w:p>
            <w:pPr>
              <w:snapToGrid w:val="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按规定3年内完成所有综合应急救援预案和专项应急救援预案演练，至少每半年组织1次生产安全事故应急救援预案演练，</w:t>
            </w:r>
            <w:r>
              <w:rPr>
                <w:rFonts w:hint="eastAsia" w:ascii="宋体" w:hAnsi="宋体" w:eastAsia="宋体" w:cs="宋体"/>
                <w:color w:val="0000FF"/>
                <w:kern w:val="0"/>
                <w:sz w:val="21"/>
                <w:szCs w:val="21"/>
                <w:highlight w:val="none"/>
              </w:rPr>
              <w:t>并对演练情况进行评估和总结，记录详实，并保存演练影像资料</w:t>
            </w:r>
          </w:p>
        </w:tc>
        <w:tc>
          <w:tcPr>
            <w:tcW w:w="4443" w:type="dxa"/>
            <w:tcBorders>
              <w:tl2br w:val="nil"/>
              <w:tr2bl w:val="nil"/>
            </w:tcBorders>
            <w:shd w:val="clear" w:color="auto" w:fill="auto"/>
            <w:vAlign w:val="center"/>
          </w:tcPr>
          <w:p>
            <w:p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2.按规定3年内完成所有综合应急救援预案和专项应急救援预案演练，至少每半年组织1次生产安全事故应急救援预案演练</w:t>
            </w:r>
          </w:p>
          <w:p>
            <w:pPr>
              <w:snapToGrid w:val="0"/>
              <w:jc w:val="left"/>
              <w:rPr>
                <w:rFonts w:hint="eastAsia" w:ascii="宋体" w:hAnsi="宋体" w:eastAsia="宋体" w:cs="宋体"/>
                <w:sz w:val="21"/>
                <w:szCs w:val="21"/>
                <w:highlight w:val="none"/>
              </w:rPr>
            </w:pPr>
            <w:r>
              <w:rPr>
                <w:rFonts w:hint="eastAsia" w:ascii="宋体" w:hAnsi="宋体" w:eastAsia="宋体" w:cs="宋体"/>
                <w:color w:val="FF0000"/>
                <w:sz w:val="21"/>
                <w:szCs w:val="21"/>
                <w:highlight w:val="none"/>
              </w:rPr>
              <w:t>3.应急救援预案及演练、灾害预防和处理计划的实施由矿长组织；记录翔实完整，进行评估、总结，并将演练情况报送县级以上地方政府负有安全生产监督管理职责的部门</w:t>
            </w:r>
          </w:p>
        </w:tc>
        <w:tc>
          <w:tcPr>
            <w:tcW w:w="3074" w:type="dxa"/>
            <w:tcBorders>
              <w:tl2br w:val="nil"/>
              <w:tr2bl w:val="nil"/>
            </w:tcBorders>
            <w:shd w:val="clear" w:color="auto" w:fill="auto"/>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删除了</w:t>
            </w:r>
            <w:r>
              <w:rPr>
                <w:rFonts w:hint="eastAsia" w:ascii="宋体" w:hAnsi="宋体" w:eastAsia="宋体" w:cs="宋体"/>
                <w:color w:val="auto"/>
                <w:sz w:val="21"/>
                <w:szCs w:val="21"/>
                <w:highlight w:val="none"/>
              </w:rPr>
              <w:t>灾害预防和处理计划的实施由矿长组织</w:t>
            </w:r>
          </w:p>
          <w:p>
            <w:pPr>
              <w:pStyle w:val="1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不再要求将演练情况上报地方政府等部门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995" w:hRule="atLeast"/>
          <w:jc w:val="center"/>
        </w:trPr>
        <w:tc>
          <w:tcPr>
            <w:tcW w:w="982" w:type="dxa"/>
            <w:vMerge w:val="continue"/>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color w:val="auto"/>
                <w:sz w:val="21"/>
                <w:szCs w:val="21"/>
                <w:highlight w:val="none"/>
              </w:rPr>
            </w:pPr>
          </w:p>
        </w:tc>
        <w:tc>
          <w:tcPr>
            <w:tcW w:w="1113" w:type="dxa"/>
            <w:tcBorders>
              <w:tl2br w:val="nil"/>
              <w:tr2bl w:val="nil"/>
            </w:tcBorders>
            <w:shd w:val="clear" w:color="auto" w:fill="auto"/>
            <w:vAlign w:val="center"/>
          </w:tcPr>
          <w:p>
            <w:pPr>
              <w:snapToGrid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技术资料</w:t>
            </w:r>
          </w:p>
        </w:tc>
        <w:tc>
          <w:tcPr>
            <w:tcW w:w="4304" w:type="dxa"/>
            <w:tcBorders>
              <w:tl2br w:val="nil"/>
              <w:tr2bl w:val="nil"/>
            </w:tcBorders>
            <w:shd w:val="clear" w:color="auto" w:fill="auto"/>
            <w:vAlign w:val="center"/>
          </w:tcPr>
          <w:p>
            <w:pPr>
              <w:snapToGrid w:val="0"/>
              <w:jc w:val="left"/>
              <w:rPr>
                <w:rFonts w:hint="eastAsia" w:ascii="宋体" w:hAnsi="宋体" w:eastAsia="宋体" w:cs="宋体"/>
                <w:sz w:val="21"/>
                <w:szCs w:val="21"/>
                <w:highlight w:val="none"/>
                <w:lang w:val="en-US" w:eastAsia="zh-CN"/>
              </w:rPr>
            </w:pPr>
          </w:p>
        </w:tc>
        <w:tc>
          <w:tcPr>
            <w:tcW w:w="4443" w:type="dxa"/>
            <w:tcBorders>
              <w:tl2br w:val="nil"/>
              <w:tr2bl w:val="nil"/>
            </w:tcBorders>
            <w:shd w:val="clear" w:color="auto" w:fill="auto"/>
            <w:vAlign w:val="center"/>
          </w:tcPr>
          <w:p>
            <w:pPr>
              <w:snapToGrid w:val="0"/>
              <w:jc w:val="left"/>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rPr>
              <w:t>1.井工煤矿应急指挥中心备有最新的采掘工程平面图、矿井通风系统图、井上下对照图、井下避灾路线图、灾害预防与处理计划、应急救援预案；</w:t>
            </w:r>
          </w:p>
          <w:p>
            <w:pPr>
              <w:snapToGrid w:val="0"/>
              <w:jc w:val="left"/>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rPr>
              <w:t>2.露天煤矿应急指挥中心备有最新的采剥、排土工程平面图和运输系统图、防排水系统图及排水设备布置图、井工老空区与露天矿平面对照图、应急救援预案</w:t>
            </w:r>
          </w:p>
        </w:tc>
        <w:tc>
          <w:tcPr>
            <w:tcW w:w="3074" w:type="dxa"/>
            <w:tcBorders>
              <w:tl2br w:val="nil"/>
              <w:tr2bl w:val="nil"/>
            </w:tcBorders>
            <w:shd w:val="clear" w:color="auto" w:fill="auto"/>
            <w:vAlign w:val="center"/>
          </w:tcPr>
          <w:p>
            <w:pPr>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删除</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492" w:hRule="atLeast"/>
          <w:jc w:val="center"/>
        </w:trPr>
        <w:tc>
          <w:tcPr>
            <w:tcW w:w="982" w:type="dxa"/>
            <w:vMerge w:val="continue"/>
            <w:tcBorders>
              <w:tl2br w:val="nil"/>
              <w:tr2bl w:val="nil"/>
            </w:tcBorders>
            <w:shd w:val="clear" w:color="auto" w:fill="auto"/>
            <w:textDirection w:val="tbRlV"/>
            <w:vAlign w:val="center"/>
          </w:tcPr>
          <w:p>
            <w:pPr>
              <w:widowControl/>
              <w:ind w:left="113" w:right="113"/>
              <w:jc w:val="center"/>
              <w:textAlignment w:val="center"/>
              <w:rPr>
                <w:rFonts w:hint="eastAsia" w:ascii="宋体" w:hAnsi="宋体" w:eastAsia="宋体" w:cs="宋体"/>
                <w:color w:val="auto"/>
                <w:sz w:val="21"/>
                <w:szCs w:val="21"/>
                <w:highlight w:val="none"/>
              </w:rPr>
            </w:pPr>
          </w:p>
        </w:tc>
        <w:tc>
          <w:tcPr>
            <w:tcW w:w="1113" w:type="dxa"/>
            <w:tcBorders>
              <w:tl2br w:val="nil"/>
              <w:tr2bl w:val="nil"/>
            </w:tcBorders>
            <w:shd w:val="clear" w:color="auto" w:fill="auto"/>
            <w:vAlign w:val="center"/>
          </w:tcPr>
          <w:p>
            <w:pPr>
              <w:snapToGrid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资料档案</w:t>
            </w:r>
          </w:p>
        </w:tc>
        <w:tc>
          <w:tcPr>
            <w:tcW w:w="4304" w:type="dxa"/>
            <w:tcBorders>
              <w:tl2br w:val="nil"/>
              <w:tr2bl w:val="nil"/>
            </w:tcBorders>
            <w:shd w:val="clear" w:color="auto" w:fill="auto"/>
            <w:vAlign w:val="center"/>
          </w:tcPr>
          <w:p>
            <w:pPr>
              <w:snapToGrid w:val="0"/>
              <w:jc w:val="left"/>
              <w:rPr>
                <w:rFonts w:hint="eastAsia" w:ascii="宋体" w:hAnsi="宋体" w:eastAsia="宋体" w:cs="宋体"/>
                <w:sz w:val="21"/>
                <w:szCs w:val="21"/>
                <w:highlight w:val="none"/>
                <w:lang w:val="en-US" w:eastAsia="zh-CN"/>
              </w:rPr>
            </w:pPr>
          </w:p>
        </w:tc>
        <w:tc>
          <w:tcPr>
            <w:tcW w:w="4443" w:type="dxa"/>
            <w:tcBorders>
              <w:tl2br w:val="nil"/>
              <w:tr2bl w:val="nil"/>
            </w:tcBorders>
            <w:shd w:val="clear" w:color="auto" w:fill="auto"/>
            <w:vAlign w:val="center"/>
          </w:tcPr>
          <w:p>
            <w:pPr>
              <w:snapToGrid w:val="0"/>
              <w:jc w:val="left"/>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rPr>
              <w:t>1.应急资料归档保存，连续完整，保存期限不少于3年</w:t>
            </w:r>
          </w:p>
          <w:p>
            <w:pPr>
              <w:snapToGrid w:val="0"/>
              <w:jc w:val="left"/>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rPr>
              <w:t>2.应急管理档案内容完整真实（应包括组织机构、工作制度、应急救援预案、上报备案、应急演练、应急救援、协议文书），管理规范</w:t>
            </w:r>
          </w:p>
        </w:tc>
        <w:tc>
          <w:tcPr>
            <w:tcW w:w="3074" w:type="dxa"/>
            <w:tcBorders>
              <w:tl2br w:val="nil"/>
              <w:tr2bl w:val="nil"/>
            </w:tcBorders>
            <w:shd w:val="clear" w:color="auto" w:fill="auto"/>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删除</w:t>
            </w:r>
          </w:p>
        </w:tc>
      </w:tr>
    </w:tbl>
    <w:p>
      <w:pPr>
        <w:pStyle w:val="4"/>
        <w:numPr>
          <w:ilvl w:val="0"/>
          <w:numId w:val="0"/>
        </w:numPr>
        <w:rPr>
          <w:highlight w:val="none"/>
        </w:rPr>
      </w:pPr>
    </w:p>
    <w:p>
      <w:pPr>
        <w:rPr>
          <w:highlight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rPr>
        <w:rFonts w:hint="default" w:eastAsia="仿宋_GB2312"/>
        <w:lang w:val="en-US" w:eastAsia="zh-CN"/>
      </w:rPr>
    </w:pPr>
    <w:r>
      <w:rPr>
        <w:rFonts w:hint="eastAsia"/>
        <w:lang w:val="en-US" w:eastAsia="zh-CN"/>
      </w:rPr>
      <w:t xml:space="preserve">更多煤矿精品资料，微信关注：煤矿政策法规大全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FCE01"/>
    <w:multiLevelType w:val="singleLevel"/>
    <w:tmpl w:val="1D3FCE01"/>
    <w:lvl w:ilvl="0" w:tentative="0">
      <w:start w:val="1"/>
      <w:numFmt w:val="decimal"/>
      <w:pStyle w:val="4"/>
      <w:lvlText w:val="%1."/>
      <w:lvlJc w:val="left"/>
      <w:pPr>
        <w:tabs>
          <w:tab w:val="left" w:pos="2040"/>
        </w:tabs>
        <w:ind w:left="2040" w:hanging="360"/>
      </w:pPr>
    </w:lvl>
  </w:abstractNum>
  <w:abstractNum w:abstractNumId="1">
    <w:nsid w:val="7E68284D"/>
    <w:multiLevelType w:val="singleLevel"/>
    <w:tmpl w:val="7E68284D"/>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zNjBjOTBiNjdhYmQwOWRkNDlhZTk3MmZiOTJhMjQifQ=="/>
    <w:docVar w:name="KSO_WPS_MARK_KEY" w:val="7e4e9635-8850-45de-bb68-48c5726d7844"/>
  </w:docVars>
  <w:rsids>
    <w:rsidRoot w:val="00000000"/>
    <w:rsid w:val="001133FC"/>
    <w:rsid w:val="01163049"/>
    <w:rsid w:val="01FB3E03"/>
    <w:rsid w:val="021467BF"/>
    <w:rsid w:val="04C9670A"/>
    <w:rsid w:val="06071298"/>
    <w:rsid w:val="079955E7"/>
    <w:rsid w:val="099D4067"/>
    <w:rsid w:val="0E254F02"/>
    <w:rsid w:val="0F501F02"/>
    <w:rsid w:val="0FFA1E6E"/>
    <w:rsid w:val="1457163D"/>
    <w:rsid w:val="163F3521"/>
    <w:rsid w:val="177F57D7"/>
    <w:rsid w:val="17B321EA"/>
    <w:rsid w:val="18100480"/>
    <w:rsid w:val="18C96881"/>
    <w:rsid w:val="19DD231B"/>
    <w:rsid w:val="1D2B69A3"/>
    <w:rsid w:val="1D3260E9"/>
    <w:rsid w:val="1E245ED1"/>
    <w:rsid w:val="1F7431B5"/>
    <w:rsid w:val="1FF71F26"/>
    <w:rsid w:val="22A303A5"/>
    <w:rsid w:val="26725121"/>
    <w:rsid w:val="26F62F37"/>
    <w:rsid w:val="2C332538"/>
    <w:rsid w:val="2D4A7B39"/>
    <w:rsid w:val="2E04418C"/>
    <w:rsid w:val="300E2B8E"/>
    <w:rsid w:val="34776038"/>
    <w:rsid w:val="347E677A"/>
    <w:rsid w:val="35FE41C7"/>
    <w:rsid w:val="3A550275"/>
    <w:rsid w:val="416C231C"/>
    <w:rsid w:val="419E7FFC"/>
    <w:rsid w:val="426A6574"/>
    <w:rsid w:val="487924AC"/>
    <w:rsid w:val="49520FBA"/>
    <w:rsid w:val="49B06B1E"/>
    <w:rsid w:val="49F13D16"/>
    <w:rsid w:val="4D307AC6"/>
    <w:rsid w:val="4DBC0187"/>
    <w:rsid w:val="4F9273F2"/>
    <w:rsid w:val="501F665C"/>
    <w:rsid w:val="52463A5B"/>
    <w:rsid w:val="55990DAE"/>
    <w:rsid w:val="576158FB"/>
    <w:rsid w:val="57684EDC"/>
    <w:rsid w:val="5BA858A7"/>
    <w:rsid w:val="60030ED6"/>
    <w:rsid w:val="60A70823"/>
    <w:rsid w:val="640C7314"/>
    <w:rsid w:val="64BE438D"/>
    <w:rsid w:val="69415724"/>
    <w:rsid w:val="699047F6"/>
    <w:rsid w:val="6BAE48F7"/>
    <w:rsid w:val="71CC7F7E"/>
    <w:rsid w:val="723143F0"/>
    <w:rsid w:val="78CF6711"/>
    <w:rsid w:val="7B51165F"/>
    <w:rsid w:val="7C993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6"/>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next w:val="1"/>
    <w:unhideWhenUsed/>
    <w:qFormat/>
    <w:uiPriority w:val="0"/>
    <w:pPr>
      <w:spacing w:after="120"/>
      <w:ind w:left="420" w:leftChars="200"/>
    </w:pPr>
    <w:rPr>
      <w:rFonts w:eastAsia="仿宋_GB2312"/>
      <w:sz w:val="32"/>
    </w:rPr>
  </w:style>
  <w:style w:type="paragraph" w:styleId="3">
    <w:name w:val="Plain Text"/>
    <w:basedOn w:val="1"/>
    <w:next w:val="4"/>
    <w:qFormat/>
    <w:uiPriority w:val="0"/>
    <w:pPr>
      <w:tabs>
        <w:tab w:val="left" w:pos="1418"/>
      </w:tabs>
      <w:ind w:left="1418" w:hanging="567"/>
    </w:pPr>
    <w:rPr>
      <w:rFonts w:ascii="宋体"/>
      <w:kern w:val="0"/>
      <w:sz w:val="20"/>
      <w:szCs w:val="20"/>
    </w:rPr>
  </w:style>
  <w:style w:type="paragraph" w:styleId="4">
    <w:name w:val="List Number 5"/>
    <w:basedOn w:val="1"/>
    <w:qFormat/>
    <w:uiPriority w:val="0"/>
    <w:pPr>
      <w:numPr>
        <w:ilvl w:val="0"/>
        <w:numId w:val="1"/>
      </w:numPr>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next w:val="2"/>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2"/>
    <w:next w:val="3"/>
    <w:qFormat/>
    <w:uiPriority w:val="99"/>
    <w:pPr>
      <w:spacing w:line="276" w:lineRule="auto"/>
      <w:ind w:firstLine="420" w:firstLineChars="200"/>
    </w:pPr>
    <w:rPr>
      <w:rFonts w:eastAsia="仿宋"/>
      <w:kern w:val="0"/>
      <w:sz w:val="28"/>
      <w:szCs w:val="28"/>
      <w:lang w:eastAsia="en-US"/>
    </w:rPr>
  </w:style>
  <w:style w:type="character" w:styleId="10">
    <w:name w:val="page number"/>
    <w:qFormat/>
    <w:uiPriority w:val="0"/>
    <w:rPr>
      <w:rFonts w:ascii="Times New Roman" w:hAnsi="Times New Roman" w:eastAsia="宋体" w:cs="Times New Roman"/>
      <w:sz w:val="18"/>
    </w:rPr>
  </w:style>
  <w:style w:type="paragraph" w:customStyle="1" w:styleId="11">
    <w:name w:val="p0"/>
    <w:next w:val="6"/>
    <w:qFormat/>
    <w:uiPriority w:val="0"/>
    <w:rPr>
      <w:rFonts w:ascii="Calibri" w:hAnsi="Calibri" w:eastAsia="宋体" w:cs="Times New Roman"/>
      <w:sz w:val="21"/>
      <w:szCs w:val="21"/>
      <w:lang w:val="en-US" w:eastAsia="zh-CN" w:bidi="ar-SA"/>
    </w:rPr>
  </w:style>
  <w:style w:type="paragraph" w:customStyle="1" w:styleId="12">
    <w:name w:val="附录表标题"/>
    <w:basedOn w:val="1"/>
    <w:next w:val="13"/>
    <w:qFormat/>
    <w:uiPriority w:val="0"/>
    <w:pPr>
      <w:tabs>
        <w:tab w:val="left" w:pos="180"/>
        <w:tab w:val="left" w:pos="1440"/>
      </w:tabs>
      <w:spacing w:beforeLines="50" w:afterLines="50"/>
      <w:ind w:left="1440" w:hanging="720"/>
      <w:jc w:val="center"/>
    </w:pPr>
    <w:rPr>
      <w:rFonts w:ascii="黑体" w:eastAsia="黑体"/>
      <w:szCs w:val="21"/>
    </w:rPr>
  </w:style>
  <w:style w:type="paragraph" w:customStyle="1" w:styleId="1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customStyle="1" w:styleId="14">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15">
    <w:name w:val="三级条标题"/>
    <w:basedOn w:val="16"/>
    <w:next w:val="13"/>
    <w:qFormat/>
    <w:uiPriority w:val="0"/>
    <w:pPr>
      <w:spacing w:beforeLines="50" w:afterLines="50"/>
      <w:ind w:left="1050"/>
      <w:outlineLvl w:val="4"/>
    </w:pPr>
  </w:style>
  <w:style w:type="paragraph" w:customStyle="1" w:styleId="16">
    <w:name w:val="二级条标题"/>
    <w:basedOn w:val="17"/>
    <w:next w:val="13"/>
    <w:qFormat/>
    <w:uiPriority w:val="0"/>
    <w:pPr>
      <w:spacing w:beforeLines="0" w:afterLines="0"/>
      <w:outlineLvl w:val="3"/>
    </w:pPr>
    <w:rPr>
      <w:kern w:val="0"/>
      <w:sz w:val="20"/>
      <w:szCs w:val="20"/>
    </w:rPr>
  </w:style>
  <w:style w:type="paragraph" w:customStyle="1" w:styleId="17">
    <w:name w:val="一级条标题"/>
    <w:next w:val="13"/>
    <w:qFormat/>
    <w:uiPriority w:val="0"/>
    <w:pPr>
      <w:spacing w:beforeLines="50" w:afterLines="50"/>
      <w:outlineLvl w:val="2"/>
    </w:pPr>
    <w:rPr>
      <w:rFonts w:ascii="黑体" w:hAnsi="Times New Roman" w:eastAsia="黑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126</Pages>
  <Words>11423</Words>
  <Characters>11567</Characters>
  <Lines>0</Lines>
  <Paragraphs>0</Paragraphs>
  <TotalTime>11</TotalTime>
  <ScaleCrop>false</ScaleCrop>
  <LinksUpToDate>false</LinksUpToDate>
  <CharactersWithSpaces>11569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2024-10-09T11:06:00Z</dcterms:created>
  <dc:creator>Administrator</dc:creator>
  <cp:lastModifiedBy>Administrator</cp:lastModifiedBy>
  <dcterms:modified xsi:type="dcterms:W3CDTF">2024-11-12T02:46:10Z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236746DB2FA347FB9734FF7AAA174DDC_13</vt:lpwstr>
  </property>
  <property fmtid="{D5CDD505-2E9C-101B-9397-08002B2CF9AE}" pid="4" name="5B77E7CEEC58BC6AFAE8886BEB80DBEB">
    <vt:lpwstr>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</vt:lpwstr>
  </property>
</Properties>
</file>